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小标宋简体" w:eastAsia="方正小标宋简体"/>
          <w:sz w:val="36"/>
          <w:szCs w:val="36"/>
        </w:rPr>
      </w:pPr>
    </w:p>
    <w:p>
      <w:pPr>
        <w:snapToGrid w:val="0"/>
        <w:spacing w:line="360" w:lineRule="auto"/>
        <w:jc w:val="center"/>
        <w:rPr>
          <w:b/>
          <w:sz w:val="52"/>
          <w:szCs w:val="52"/>
        </w:rPr>
      </w:pPr>
    </w:p>
    <w:p>
      <w:pPr>
        <w:snapToGrid w:val="0"/>
        <w:spacing w:line="360" w:lineRule="auto"/>
        <w:jc w:val="center"/>
        <w:rPr>
          <w:b/>
          <w:sz w:val="52"/>
          <w:szCs w:val="52"/>
        </w:rPr>
      </w:pPr>
    </w:p>
    <w:p>
      <w:pPr>
        <w:snapToGrid w:val="0"/>
        <w:spacing w:line="360" w:lineRule="auto"/>
        <w:jc w:val="center"/>
        <w:rPr>
          <w:b/>
          <w:sz w:val="52"/>
          <w:szCs w:val="52"/>
        </w:rPr>
      </w:pPr>
    </w:p>
    <w:p>
      <w:pPr>
        <w:snapToGrid w:val="0"/>
        <w:spacing w:line="360" w:lineRule="auto"/>
        <w:jc w:val="center"/>
        <w:rPr>
          <w:b/>
          <w:sz w:val="52"/>
          <w:szCs w:val="52"/>
        </w:rPr>
      </w:pPr>
      <w:r>
        <w:rPr>
          <w:rFonts w:hint="eastAsia"/>
          <w:b/>
          <w:sz w:val="52"/>
          <w:szCs w:val="52"/>
        </w:rPr>
        <w:t>台湾民主自治同盟北京市委员会</w:t>
      </w:r>
    </w:p>
    <w:p>
      <w:pPr>
        <w:snapToGrid w:val="0"/>
        <w:spacing w:line="360" w:lineRule="auto"/>
        <w:jc w:val="center"/>
        <w:rPr>
          <w:b/>
          <w:sz w:val="52"/>
          <w:szCs w:val="52"/>
        </w:rPr>
      </w:pPr>
      <w:r>
        <w:rPr>
          <w:b/>
          <w:sz w:val="52"/>
          <w:szCs w:val="52"/>
        </w:rPr>
        <w:t>部门整体绩效评价报告</w:t>
      </w:r>
    </w:p>
    <w:p>
      <w:pPr>
        <w:snapToGrid w:val="0"/>
        <w:spacing w:line="360" w:lineRule="auto"/>
        <w:ind w:firstLine="640"/>
        <w:jc w:val="center"/>
        <w:rPr>
          <w:sz w:val="32"/>
          <w:szCs w:val="32"/>
        </w:rPr>
      </w:pPr>
    </w:p>
    <w:p>
      <w:pPr>
        <w:snapToGrid w:val="0"/>
        <w:spacing w:line="360" w:lineRule="auto"/>
        <w:ind w:firstLine="1044"/>
        <w:jc w:val="center"/>
        <w:rPr>
          <w:b/>
          <w:sz w:val="52"/>
        </w:rPr>
      </w:pPr>
    </w:p>
    <w:p>
      <w:pPr>
        <w:snapToGrid w:val="0"/>
        <w:spacing w:line="360" w:lineRule="auto"/>
        <w:ind w:firstLine="1044"/>
        <w:rPr>
          <w:b/>
          <w:sz w:val="52"/>
        </w:rPr>
      </w:pPr>
    </w:p>
    <w:p>
      <w:pPr>
        <w:snapToGrid w:val="0"/>
        <w:spacing w:line="360" w:lineRule="auto"/>
        <w:ind w:firstLine="1044"/>
        <w:rPr>
          <w:b/>
          <w:sz w:val="52"/>
        </w:rPr>
      </w:pPr>
    </w:p>
    <w:p>
      <w:pPr>
        <w:snapToGrid w:val="0"/>
        <w:spacing w:line="360" w:lineRule="auto"/>
        <w:ind w:firstLine="600"/>
        <w:rPr>
          <w:sz w:val="30"/>
        </w:rPr>
      </w:pPr>
    </w:p>
    <w:p>
      <w:pPr>
        <w:snapToGrid w:val="0"/>
        <w:spacing w:line="360" w:lineRule="auto"/>
        <w:ind w:firstLine="640"/>
        <w:jc w:val="center"/>
        <w:rPr>
          <w:rFonts w:eastAsia="仿宋_GB2312"/>
          <w:sz w:val="32"/>
          <w:szCs w:val="32"/>
        </w:rPr>
      </w:pPr>
    </w:p>
    <w:tbl>
      <w:tblPr>
        <w:tblStyle w:val="10"/>
        <w:tblW w:w="8529" w:type="dxa"/>
        <w:tblInd w:w="108" w:type="dxa"/>
        <w:tblLayout w:type="fixed"/>
        <w:tblCellMar>
          <w:top w:w="0" w:type="dxa"/>
          <w:left w:w="108" w:type="dxa"/>
          <w:bottom w:w="0" w:type="dxa"/>
          <w:right w:w="108" w:type="dxa"/>
        </w:tblCellMar>
      </w:tblPr>
      <w:tblGrid>
        <w:gridCol w:w="1668"/>
        <w:gridCol w:w="6861"/>
      </w:tblGrid>
      <w:tr>
        <w:tblPrEx>
          <w:tblLayout w:type="fixed"/>
        </w:tblPrEx>
        <w:trPr>
          <w:trHeight w:val="889" w:hRule="atLeast"/>
        </w:trPr>
        <w:tc>
          <w:tcPr>
            <w:tcW w:w="1668" w:type="dxa"/>
            <w:shd w:val="clear" w:color="auto" w:fill="auto"/>
            <w:vAlign w:val="bottom"/>
          </w:tcPr>
          <w:p>
            <w:pPr>
              <w:snapToGrid w:val="0"/>
              <w:spacing w:line="360" w:lineRule="auto"/>
              <w:rPr>
                <w:rFonts w:ascii="宋体" w:hAnsi="宋体"/>
                <w:sz w:val="32"/>
                <w:szCs w:val="32"/>
              </w:rPr>
            </w:pPr>
            <w:r>
              <w:rPr>
                <w:rFonts w:hint="eastAsia" w:ascii="宋体" w:hAnsi="宋体"/>
                <w:sz w:val="32"/>
                <w:szCs w:val="32"/>
              </w:rPr>
              <w:t>部门名称</w:t>
            </w:r>
          </w:p>
        </w:tc>
        <w:tc>
          <w:tcPr>
            <w:tcW w:w="6861" w:type="dxa"/>
            <w:shd w:val="clear" w:color="auto" w:fill="auto"/>
            <w:vAlign w:val="bottom"/>
          </w:tcPr>
          <w:p>
            <w:pPr>
              <w:snapToGrid w:val="0"/>
              <w:spacing w:line="360" w:lineRule="auto"/>
              <w:ind w:firstLine="960" w:firstLineChars="300"/>
              <w:rPr>
                <w:rFonts w:ascii="宋体" w:hAnsi="宋体"/>
                <w:sz w:val="32"/>
                <w:szCs w:val="32"/>
              </w:rPr>
            </w:pPr>
            <w:r>
              <w:rPr>
                <w:rFonts w:ascii="宋体" w:hAnsi="宋体"/>
                <w:sz w:val="32"/>
                <w:szCs w:val="32"/>
              </w:rPr>
              <mc:AlternateContent>
                <mc:Choice Requires="wps">
                  <w:drawing>
                    <wp:anchor distT="0" distB="0" distL="114300" distR="114300" simplePos="0" relativeHeight="251659264" behindDoc="0" locked="0" layoutInCell="1" allowOverlap="1">
                      <wp:simplePos x="0" y="0"/>
                      <wp:positionH relativeFrom="column">
                        <wp:posOffset>235585</wp:posOffset>
                      </wp:positionH>
                      <wp:positionV relativeFrom="paragraph">
                        <wp:posOffset>213995</wp:posOffset>
                      </wp:positionV>
                      <wp:extent cx="3522345" cy="8255"/>
                      <wp:effectExtent l="10795" t="9525" r="10160" b="10795"/>
                      <wp:wrapNone/>
                      <wp:docPr id="4" name="AutoShape 3"/>
                      <wp:cNvGraphicFramePr/>
                      <a:graphic xmlns:a="http://schemas.openxmlformats.org/drawingml/2006/main">
                        <a:graphicData uri="http://schemas.microsoft.com/office/word/2010/wordprocessingShape">
                          <wps:wsp>
                            <wps:cNvCnPr>
                              <a:cxnSpLocks noChangeShapeType="1"/>
                            </wps:cNvCnPr>
                            <wps:spPr bwMode="auto">
                              <a:xfrm flipV="1">
                                <a:off x="0" y="0"/>
                                <a:ext cx="3522345" cy="8255"/>
                              </a:xfrm>
                              <a:prstGeom prst="straightConnector1">
                                <a:avLst/>
                              </a:prstGeom>
                              <a:noFill/>
                              <a:ln w="9525">
                                <a:solidFill>
                                  <a:srgbClr val="000000"/>
                                </a:solidFill>
                                <a:round/>
                              </a:ln>
                            </wps:spPr>
                            <wps:bodyPr/>
                          </wps:wsp>
                        </a:graphicData>
                      </a:graphic>
                    </wp:anchor>
                  </w:drawing>
                </mc:Choice>
                <mc:Fallback>
                  <w:pict>
                    <v:shape id="AutoShape 3" o:spid="_x0000_s1026" o:spt="32" type="#_x0000_t32" style="position:absolute;left:0pt;flip:y;margin-left:18.55pt;margin-top:16.85pt;height:0.65pt;width:277.35pt;z-index:251659264;mso-width-relative:page;mso-height-relative:page;" filled="f" stroked="t" coordsize="21600,21600" o:gfxdata="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gKljT1wAAAAgBAAAPAAAAAAAAAAEAIAAAACIAAABkcnMvZG93bnJldi54&#10;bWxQSwECFAAUAAAACACHTuJA74DP+sIBAABxAwAADgAAAAAAAAABACAAAAAmAQAAZHJzL2Uyb0Rv&#10;Yy54bWxQSwUGAAAAAAYABgBZAQAAWgUAAAAA&#10;">
                      <v:fill on="f" focussize="0,0"/>
                      <v:stroke color="#000000" joinstyle="round"/>
                      <v:imagedata o:title=""/>
                      <o:lock v:ext="edit" aspectratio="f"/>
                    </v:shape>
                  </w:pict>
                </mc:Fallback>
              </mc:AlternateContent>
            </w:r>
            <w:r>
              <w:rPr>
                <w:rFonts w:hint="eastAsia" w:ascii="宋体" w:hAnsi="宋体"/>
                <w:sz w:val="32"/>
                <w:szCs w:val="32"/>
              </w:rPr>
              <w:t>台湾民主自治同盟北京市委员会</w:t>
            </w:r>
            <w:r>
              <w:rPr>
                <w:rFonts w:ascii="宋体" w:hAnsi="宋体"/>
                <w:sz w:val="32"/>
                <w:szCs w:val="32"/>
              </w:rPr>
              <w:t xml:space="preserve">  </w:t>
            </w:r>
            <w:r>
              <w:rPr>
                <w:rFonts w:hint="eastAsia" w:ascii="宋体" w:hAnsi="宋体"/>
                <w:sz w:val="32"/>
                <w:szCs w:val="32"/>
              </w:rPr>
              <w:t xml:space="preserve">          </w:t>
            </w:r>
          </w:p>
        </w:tc>
      </w:tr>
      <w:tr>
        <w:tblPrEx>
          <w:tblLayout w:type="fixed"/>
          <w:tblCellMar>
            <w:top w:w="0" w:type="dxa"/>
            <w:left w:w="108" w:type="dxa"/>
            <w:bottom w:w="0" w:type="dxa"/>
            <w:right w:w="108" w:type="dxa"/>
          </w:tblCellMar>
        </w:tblPrEx>
        <w:trPr>
          <w:trHeight w:val="889" w:hRule="atLeast"/>
        </w:trPr>
        <w:tc>
          <w:tcPr>
            <w:tcW w:w="1668" w:type="dxa"/>
            <w:shd w:val="clear" w:color="auto" w:fill="auto"/>
            <w:vAlign w:val="bottom"/>
          </w:tcPr>
          <w:p>
            <w:pPr>
              <w:snapToGrid w:val="0"/>
              <w:spacing w:line="360" w:lineRule="auto"/>
              <w:rPr>
                <w:rFonts w:ascii="宋体" w:hAnsi="宋体"/>
                <w:b/>
                <w:sz w:val="32"/>
                <w:szCs w:val="32"/>
              </w:rPr>
            </w:pPr>
            <w:r>
              <w:rPr>
                <w:rFonts w:hint="eastAsia" w:ascii="宋体" w:hAnsi="宋体"/>
                <w:sz w:val="32"/>
                <w:szCs w:val="32"/>
              </w:rPr>
              <w:t>填报日期</w:t>
            </w:r>
          </w:p>
        </w:tc>
        <w:tc>
          <w:tcPr>
            <w:tcW w:w="6861" w:type="dxa"/>
            <w:shd w:val="clear" w:color="auto" w:fill="auto"/>
            <w:vAlign w:val="bottom"/>
          </w:tcPr>
          <w:p>
            <w:pPr>
              <w:snapToGrid w:val="0"/>
              <w:spacing w:line="360" w:lineRule="auto"/>
              <w:ind w:firstLine="640" w:firstLineChars="200"/>
              <w:rPr>
                <w:rFonts w:ascii="宋体" w:hAnsi="宋体"/>
                <w:sz w:val="32"/>
                <w:szCs w:val="32"/>
              </w:rPr>
            </w:pPr>
            <w:r>
              <w:rPr>
                <w:rFonts w:ascii="宋体" w:hAnsi="宋体"/>
                <w:sz w:val="32"/>
                <w:szCs w:val="32"/>
              </w:rPr>
              <mc:AlternateContent>
                <mc:Choice Requires="wps">
                  <w:drawing>
                    <wp:anchor distT="0" distB="0" distL="114300" distR="114300" simplePos="0" relativeHeight="251660288" behindDoc="0" locked="0" layoutInCell="1" allowOverlap="1">
                      <wp:simplePos x="0" y="0"/>
                      <wp:positionH relativeFrom="column">
                        <wp:posOffset>237490</wp:posOffset>
                      </wp:positionH>
                      <wp:positionV relativeFrom="paragraph">
                        <wp:posOffset>197485</wp:posOffset>
                      </wp:positionV>
                      <wp:extent cx="3536950" cy="8255"/>
                      <wp:effectExtent l="12700" t="5080" r="12700" b="5715"/>
                      <wp:wrapNone/>
                      <wp:docPr id="3" name="AutoShape 4"/>
                      <wp:cNvGraphicFramePr/>
                      <a:graphic xmlns:a="http://schemas.openxmlformats.org/drawingml/2006/main">
                        <a:graphicData uri="http://schemas.microsoft.com/office/word/2010/wordprocessingShape">
                          <wps:wsp>
                            <wps:cNvCnPr>
                              <a:cxnSpLocks noChangeShapeType="1"/>
                            </wps:cNvCnPr>
                            <wps:spPr bwMode="auto">
                              <a:xfrm flipV="1">
                                <a:off x="0" y="0"/>
                                <a:ext cx="3536950" cy="8255"/>
                              </a:xfrm>
                              <a:prstGeom prst="straightConnector1">
                                <a:avLst/>
                              </a:prstGeom>
                              <a:noFill/>
                              <a:ln w="9525">
                                <a:solidFill>
                                  <a:srgbClr val="000000"/>
                                </a:solidFill>
                                <a:round/>
                              </a:ln>
                            </wps:spPr>
                            <wps:bodyPr/>
                          </wps:wsp>
                        </a:graphicData>
                      </a:graphic>
                    </wp:anchor>
                  </w:drawing>
                </mc:Choice>
                <mc:Fallback>
                  <w:pict>
                    <v:shape id="AutoShape 4" o:spid="_x0000_s1026" o:spt="32" type="#_x0000_t32" style="position:absolute;left:0pt;flip:y;margin-left:18.7pt;margin-top:15.55pt;height:0.65pt;width:278.5pt;z-index:251660288;mso-width-relative:page;mso-height-relative:page;" filled="f" stroked="t" coordsize="21600,21600" o:gfxdata="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eMwzu1gAAAAgBAAAPAAAAAAAAAAEAIAAAACIAAABkcnMvZG93bnJldi54&#10;bWxQSwECFAAUAAAACACHTuJAyemPH8MBAABxAwAADgAAAAAAAAABACAAAAAlAQAAZHJzL2Uyb0Rv&#10;Yy54bWxQSwUGAAAAAAYABgBZAQAAWgUAAAAA&#10;">
                      <v:fill on="f" focussize="0,0"/>
                      <v:stroke color="#000000" joinstyle="round"/>
                      <v:imagedata o:title=""/>
                      <o:lock v:ext="edit" aspectratio="f"/>
                    </v:shape>
                  </w:pict>
                </mc:Fallback>
              </mc:AlternateContent>
            </w:r>
            <w:r>
              <w:rPr>
                <w:rFonts w:hint="eastAsia" w:ascii="宋体" w:hAnsi="宋体"/>
                <w:sz w:val="32"/>
                <w:szCs w:val="32"/>
              </w:rPr>
              <w:t xml:space="preserve">  </w:t>
            </w:r>
            <w:r>
              <w:rPr>
                <w:rFonts w:ascii="宋体" w:hAnsi="宋体"/>
                <w:sz w:val="32"/>
                <w:szCs w:val="32"/>
              </w:rPr>
              <w:t xml:space="preserve">  </w:t>
            </w:r>
            <w:r>
              <w:rPr>
                <w:rFonts w:hint="eastAsia" w:ascii="宋体" w:hAnsi="宋体"/>
                <w:sz w:val="32"/>
                <w:szCs w:val="32"/>
              </w:rPr>
              <w:t xml:space="preserve">     202</w:t>
            </w:r>
            <w:r>
              <w:rPr>
                <w:rFonts w:hint="eastAsia" w:ascii="宋体" w:hAnsi="宋体"/>
                <w:sz w:val="32"/>
                <w:szCs w:val="32"/>
                <w:lang w:val="en-US" w:eastAsia="zh-CN"/>
              </w:rPr>
              <w:t>6</w:t>
            </w:r>
            <w:r>
              <w:rPr>
                <w:rFonts w:hint="eastAsia" w:ascii="宋体" w:hAnsi="宋体"/>
                <w:sz w:val="32"/>
                <w:szCs w:val="32"/>
              </w:rPr>
              <w:t xml:space="preserve">年5月 </w:t>
            </w:r>
            <w:r>
              <w:rPr>
                <w:rFonts w:ascii="宋体" w:hAnsi="宋体"/>
                <w:sz w:val="32"/>
                <w:szCs w:val="32"/>
              </w:rPr>
              <w:t xml:space="preserve">                </w:t>
            </w:r>
          </w:p>
        </w:tc>
      </w:tr>
    </w:tbl>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p>
    <w:sdt>
      <w:sdtPr>
        <w:rPr>
          <w:rFonts w:ascii="宋体" w:hAnsi="宋体"/>
        </w:rPr>
        <w:id w:val="147476741"/>
        <w15:color w:val="DBDBDB"/>
        <w:docPartObj>
          <w:docPartGallery w:val="Table of Contents"/>
          <w:docPartUnique/>
        </w:docPartObj>
      </w:sdtPr>
      <w:sdtEndPr>
        <w:rPr>
          <w:rFonts w:hint="eastAsia" w:ascii="方正小标宋简体" w:hAnsi="Times New Roman" w:eastAsia="方正小标宋简体"/>
          <w:b/>
          <w:szCs w:val="36"/>
        </w:rPr>
      </w:sdtEndPr>
      <w:sdtContent>
        <w:p>
          <w:pPr>
            <w:tabs>
              <w:tab w:val="center" w:pos="4153"/>
              <w:tab w:val="left" w:pos="6311"/>
            </w:tabs>
            <w:spacing w:line="360" w:lineRule="auto"/>
            <w:jc w:val="left"/>
            <w:rPr>
              <w:rFonts w:ascii="仿宋_GB2312" w:hAnsi="仿宋_GB2312" w:eastAsia="仿宋_GB2312" w:cs="仿宋_GB2312"/>
              <w:sz w:val="32"/>
              <w:szCs w:val="32"/>
            </w:rPr>
          </w:pPr>
          <w:r>
            <w:rPr>
              <w:rFonts w:ascii="宋体" w:hAnsi="宋体"/>
            </w:rPr>
            <w:tab/>
          </w:r>
          <w:r>
            <w:rPr>
              <w:rFonts w:hint="eastAsia" w:ascii="仿宋_GB2312" w:hAnsi="仿宋_GB2312" w:eastAsia="仿宋_GB2312" w:cs="仿宋_GB2312"/>
              <w:sz w:val="32"/>
              <w:szCs w:val="32"/>
            </w:rPr>
            <w:t>目录</w:t>
          </w:r>
          <w:r>
            <w:rPr>
              <w:rFonts w:ascii="仿宋_GB2312" w:hAnsi="仿宋_GB2312" w:eastAsia="仿宋_GB2312" w:cs="仿宋_GB2312"/>
              <w:sz w:val="32"/>
              <w:szCs w:val="32"/>
            </w:rPr>
            <w:tab/>
          </w:r>
        </w:p>
        <w:p>
          <w:pPr>
            <w:pStyle w:val="7"/>
            <w:tabs>
              <w:tab w:val="right" w:leader="dot" w:pos="8296"/>
            </w:tabs>
            <w:rPr>
              <w:rFonts w:ascii="仿宋_GB2312" w:eastAsia="仿宋_GB2312" w:hAnsiTheme="minorHAnsi" w:cstheme="minorBidi"/>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fldChar w:fldCharType="begin"/>
          </w:r>
          <w:r>
            <w:instrText xml:space="preserve"> HYPERLINK \l "_Toc135212453" </w:instrText>
          </w:r>
          <w:r>
            <w:fldChar w:fldCharType="separate"/>
          </w:r>
          <w:r>
            <w:rPr>
              <w:rStyle w:val="12"/>
              <w:rFonts w:hint="eastAsia" w:ascii="仿宋_GB2312" w:hAnsi="黑体" w:eastAsia="仿宋_GB2312" w:cs="仿宋_GB2312"/>
              <w:kern w:val="0"/>
              <w:sz w:val="32"/>
              <w:szCs w:val="32"/>
            </w:rPr>
            <w:t>一、部门概况</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_Toc135212453 \h </w:instrText>
          </w:r>
          <w:r>
            <w:rPr>
              <w:rFonts w:hint="eastAsia" w:ascii="仿宋_GB2312" w:eastAsia="仿宋_GB2312"/>
              <w:sz w:val="32"/>
              <w:szCs w:val="32"/>
            </w:rPr>
            <w:fldChar w:fldCharType="separate"/>
          </w:r>
          <w:r>
            <w:rPr>
              <w:rFonts w:hint="eastAsia" w:ascii="仿宋_GB2312" w:eastAsia="仿宋_GB2312"/>
              <w:sz w:val="32"/>
              <w:szCs w:val="32"/>
            </w:rPr>
            <w:t>1</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"_Toc135212454" </w:instrText>
          </w:r>
          <w:r>
            <w:fldChar w:fldCharType="separate"/>
          </w:r>
          <w:r>
            <w:rPr>
              <w:rStyle w:val="12"/>
              <w:rFonts w:hint="eastAsia" w:ascii="仿宋_GB2312" w:eastAsia="仿宋_GB2312"/>
              <w:sz w:val="32"/>
              <w:szCs w:val="32"/>
            </w:rPr>
            <w:t>（一）机构设置及职责工作任务情况</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_Toc135212454 \h </w:instrText>
          </w:r>
          <w:r>
            <w:rPr>
              <w:rFonts w:hint="eastAsia" w:ascii="仿宋_GB2312" w:eastAsia="仿宋_GB2312"/>
              <w:sz w:val="32"/>
              <w:szCs w:val="32"/>
            </w:rPr>
            <w:fldChar w:fldCharType="separate"/>
          </w:r>
          <w:r>
            <w:rPr>
              <w:rFonts w:hint="eastAsia" w:ascii="仿宋_GB2312" w:eastAsia="仿宋_GB2312"/>
              <w:sz w:val="32"/>
              <w:szCs w:val="32"/>
            </w:rPr>
            <w:t>1</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"_Toc135212455" </w:instrText>
          </w:r>
          <w:r>
            <w:fldChar w:fldCharType="separate"/>
          </w:r>
          <w:r>
            <w:rPr>
              <w:rStyle w:val="12"/>
              <w:rFonts w:hint="eastAsia" w:ascii="仿宋_GB2312" w:eastAsia="仿宋_GB2312"/>
              <w:sz w:val="32"/>
              <w:szCs w:val="32"/>
            </w:rPr>
            <w:t>（二）部门整体绩效目标设立情况</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_Toc135212455 \h </w:instrText>
          </w:r>
          <w:r>
            <w:rPr>
              <w:rFonts w:hint="eastAsia" w:ascii="仿宋_GB2312" w:eastAsia="仿宋_GB2312"/>
              <w:sz w:val="32"/>
              <w:szCs w:val="32"/>
            </w:rPr>
            <w:fldChar w:fldCharType="separate"/>
          </w:r>
          <w:r>
            <w:rPr>
              <w:rFonts w:hint="eastAsia" w:ascii="仿宋_GB2312" w:eastAsia="仿宋_GB2312"/>
              <w:sz w:val="32"/>
              <w:szCs w:val="32"/>
            </w:rPr>
            <w:t>4</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7"/>
            <w:tabs>
              <w:tab w:val="right" w:leader="dot" w:pos="8296"/>
            </w:tabs>
            <w:rPr>
              <w:rFonts w:ascii="仿宋_GB2312" w:eastAsia="仿宋_GB2312" w:hAnsiTheme="minorHAnsi" w:cstheme="minorBidi"/>
              <w:sz w:val="32"/>
              <w:szCs w:val="32"/>
            </w:rPr>
          </w:pPr>
          <w:r>
            <w:fldChar w:fldCharType="begin"/>
          </w:r>
          <w:r>
            <w:instrText xml:space="preserve"> HYPERLINK \l "_Toc135212456" </w:instrText>
          </w:r>
          <w:r>
            <w:fldChar w:fldCharType="separate"/>
          </w:r>
          <w:r>
            <w:rPr>
              <w:rStyle w:val="12"/>
              <w:rFonts w:hint="eastAsia" w:ascii="仿宋_GB2312" w:hAnsi="黑体" w:eastAsia="仿宋_GB2312" w:cs="仿宋_GB2312"/>
              <w:kern w:val="0"/>
              <w:sz w:val="32"/>
              <w:szCs w:val="32"/>
            </w:rPr>
            <w:t>二、当年预算执行情况</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_Toc135212456 \h </w:instrText>
          </w:r>
          <w:r>
            <w:rPr>
              <w:rFonts w:hint="eastAsia" w:ascii="仿宋_GB2312" w:eastAsia="仿宋_GB2312"/>
              <w:sz w:val="32"/>
              <w:szCs w:val="32"/>
            </w:rPr>
            <w:fldChar w:fldCharType="separate"/>
          </w:r>
          <w:r>
            <w:rPr>
              <w:rFonts w:hint="eastAsia" w:ascii="仿宋_GB2312" w:eastAsia="仿宋_GB2312"/>
              <w:sz w:val="32"/>
              <w:szCs w:val="32"/>
            </w:rPr>
            <w:t>5</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7"/>
            <w:tabs>
              <w:tab w:val="right" w:leader="dot" w:pos="8296"/>
            </w:tabs>
            <w:rPr>
              <w:rFonts w:ascii="仿宋_GB2312" w:eastAsia="仿宋_GB2312" w:hAnsiTheme="minorHAnsi" w:cstheme="minorBidi"/>
              <w:sz w:val="32"/>
              <w:szCs w:val="32"/>
            </w:rPr>
          </w:pPr>
          <w:r>
            <w:fldChar w:fldCharType="begin"/>
          </w:r>
          <w:r>
            <w:instrText xml:space="preserve"> HYPERLINK \l "_Toc135212457" </w:instrText>
          </w:r>
          <w:r>
            <w:fldChar w:fldCharType="separate"/>
          </w:r>
          <w:r>
            <w:rPr>
              <w:rStyle w:val="12"/>
              <w:rFonts w:hint="eastAsia" w:ascii="仿宋_GB2312" w:hAnsi="黑体" w:eastAsia="仿宋_GB2312" w:cs="仿宋_GB2312"/>
              <w:kern w:val="0"/>
              <w:sz w:val="32"/>
              <w:szCs w:val="32"/>
            </w:rPr>
            <w:t>三、整体绩效目标实现情况</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_Toc135212457 \h </w:instrText>
          </w:r>
          <w:r>
            <w:rPr>
              <w:rFonts w:hint="eastAsia" w:ascii="仿宋_GB2312" w:eastAsia="仿宋_GB2312"/>
              <w:sz w:val="32"/>
              <w:szCs w:val="32"/>
            </w:rPr>
            <w:fldChar w:fldCharType="separate"/>
          </w:r>
          <w:r>
            <w:rPr>
              <w:rFonts w:hint="eastAsia" w:ascii="仿宋_GB2312" w:eastAsia="仿宋_GB2312"/>
              <w:sz w:val="32"/>
              <w:szCs w:val="32"/>
            </w:rPr>
            <w:t>5</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"_Toc135212458" </w:instrText>
          </w:r>
          <w:r>
            <w:fldChar w:fldCharType="separate"/>
          </w:r>
          <w:r>
            <w:rPr>
              <w:rStyle w:val="12"/>
              <w:rFonts w:hint="eastAsia" w:ascii="仿宋_GB2312" w:eastAsia="仿宋_GB2312"/>
              <w:sz w:val="32"/>
              <w:szCs w:val="32"/>
            </w:rPr>
            <w:t>（一）产出完成情况分析</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_Toc135212458 \h </w:instrText>
          </w:r>
          <w:r>
            <w:rPr>
              <w:rFonts w:hint="eastAsia" w:ascii="仿宋_GB2312" w:eastAsia="仿宋_GB2312"/>
              <w:sz w:val="32"/>
              <w:szCs w:val="32"/>
            </w:rPr>
            <w:fldChar w:fldCharType="separate"/>
          </w:r>
          <w:r>
            <w:rPr>
              <w:rFonts w:hint="eastAsia" w:ascii="仿宋_GB2312" w:eastAsia="仿宋_GB2312"/>
              <w:sz w:val="32"/>
              <w:szCs w:val="32"/>
            </w:rPr>
            <w:t>6</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"_Toc135212459" </w:instrText>
          </w:r>
          <w:r>
            <w:fldChar w:fldCharType="separate"/>
          </w:r>
          <w:r>
            <w:rPr>
              <w:rStyle w:val="12"/>
              <w:rFonts w:hint="eastAsia" w:ascii="仿宋_GB2312" w:eastAsia="仿宋_GB2312"/>
              <w:sz w:val="32"/>
              <w:szCs w:val="32"/>
            </w:rPr>
            <w:t>（二）效果实现情况分析</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_Toc135212459 \h </w:instrText>
          </w:r>
          <w:r>
            <w:rPr>
              <w:rFonts w:hint="eastAsia" w:ascii="仿宋_GB2312" w:eastAsia="仿宋_GB2312"/>
              <w:sz w:val="32"/>
              <w:szCs w:val="32"/>
            </w:rPr>
            <w:fldChar w:fldCharType="separate"/>
          </w:r>
          <w:r>
            <w:rPr>
              <w:rFonts w:hint="eastAsia" w:ascii="仿宋_GB2312" w:eastAsia="仿宋_GB2312"/>
              <w:sz w:val="32"/>
              <w:szCs w:val="32"/>
            </w:rPr>
            <w:t>9</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7"/>
            <w:tabs>
              <w:tab w:val="right" w:leader="dot" w:pos="8296"/>
            </w:tabs>
            <w:rPr>
              <w:rFonts w:ascii="仿宋_GB2312" w:eastAsia="仿宋_GB2312" w:hAnsiTheme="minorHAnsi" w:cstheme="minorBidi"/>
              <w:sz w:val="32"/>
              <w:szCs w:val="32"/>
            </w:rPr>
          </w:pPr>
          <w:r>
            <w:fldChar w:fldCharType="begin"/>
          </w:r>
          <w:r>
            <w:instrText xml:space="preserve"> HYPERLINK \l "_Toc135212460" </w:instrText>
          </w:r>
          <w:r>
            <w:fldChar w:fldCharType="separate"/>
          </w:r>
          <w:r>
            <w:rPr>
              <w:rStyle w:val="12"/>
              <w:rFonts w:hint="eastAsia" w:ascii="仿宋_GB2312" w:hAnsi="黑体" w:eastAsia="仿宋_GB2312" w:cs="仿宋_GB2312"/>
              <w:kern w:val="0"/>
              <w:sz w:val="32"/>
              <w:szCs w:val="32"/>
            </w:rPr>
            <w:t>四、预算管理情况分析</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_Toc135212460 \h </w:instrText>
          </w:r>
          <w:r>
            <w:rPr>
              <w:rFonts w:hint="eastAsia" w:ascii="仿宋_GB2312" w:eastAsia="仿宋_GB2312"/>
              <w:sz w:val="32"/>
              <w:szCs w:val="32"/>
            </w:rPr>
            <w:fldChar w:fldCharType="separate"/>
          </w:r>
          <w:r>
            <w:rPr>
              <w:rFonts w:hint="eastAsia" w:ascii="仿宋_GB2312" w:eastAsia="仿宋_GB2312"/>
              <w:sz w:val="32"/>
              <w:szCs w:val="32"/>
            </w:rPr>
            <w:t>11</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"_Toc135212461" </w:instrText>
          </w:r>
          <w:r>
            <w:fldChar w:fldCharType="separate"/>
          </w:r>
          <w:r>
            <w:rPr>
              <w:rStyle w:val="12"/>
              <w:rFonts w:hint="eastAsia" w:ascii="仿宋_GB2312" w:eastAsia="仿宋_GB2312"/>
              <w:sz w:val="32"/>
              <w:szCs w:val="32"/>
            </w:rPr>
            <w:t>（一）财务管理</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_Toc135212461 \h </w:instrText>
          </w:r>
          <w:r>
            <w:rPr>
              <w:rFonts w:hint="eastAsia" w:ascii="仿宋_GB2312" w:eastAsia="仿宋_GB2312"/>
              <w:sz w:val="32"/>
              <w:szCs w:val="32"/>
            </w:rPr>
            <w:fldChar w:fldCharType="separate"/>
          </w:r>
          <w:r>
            <w:rPr>
              <w:rFonts w:hint="eastAsia" w:ascii="仿宋_GB2312" w:eastAsia="仿宋_GB2312"/>
              <w:sz w:val="32"/>
              <w:szCs w:val="32"/>
            </w:rPr>
            <w:t>11</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"_Toc135212462" </w:instrText>
          </w:r>
          <w:r>
            <w:fldChar w:fldCharType="separate"/>
          </w:r>
          <w:r>
            <w:rPr>
              <w:rStyle w:val="12"/>
              <w:rFonts w:hint="eastAsia" w:ascii="仿宋_GB2312" w:eastAsia="仿宋_GB2312"/>
              <w:sz w:val="32"/>
              <w:szCs w:val="32"/>
            </w:rPr>
            <w:t>（二）资产管理</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_Toc135212462 \h </w:instrText>
          </w:r>
          <w:r>
            <w:rPr>
              <w:rFonts w:hint="eastAsia" w:ascii="仿宋_GB2312" w:eastAsia="仿宋_GB2312"/>
              <w:sz w:val="32"/>
              <w:szCs w:val="32"/>
            </w:rPr>
            <w:fldChar w:fldCharType="separate"/>
          </w:r>
          <w:r>
            <w:rPr>
              <w:rFonts w:hint="eastAsia" w:ascii="仿宋_GB2312" w:eastAsia="仿宋_GB2312"/>
              <w:sz w:val="32"/>
              <w:szCs w:val="32"/>
            </w:rPr>
            <w:t>12</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"_Toc135212463" </w:instrText>
          </w:r>
          <w:r>
            <w:fldChar w:fldCharType="separate"/>
          </w:r>
          <w:r>
            <w:rPr>
              <w:rStyle w:val="12"/>
              <w:rFonts w:hint="eastAsia" w:ascii="仿宋_GB2312" w:eastAsia="仿宋_GB2312"/>
              <w:sz w:val="32"/>
              <w:szCs w:val="32"/>
            </w:rPr>
            <w:t>（三）绩效管理</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_Toc135212463 \h </w:instrText>
          </w:r>
          <w:r>
            <w:rPr>
              <w:rFonts w:hint="eastAsia" w:ascii="仿宋_GB2312" w:eastAsia="仿宋_GB2312"/>
              <w:sz w:val="32"/>
              <w:szCs w:val="32"/>
            </w:rPr>
            <w:fldChar w:fldCharType="separate"/>
          </w:r>
          <w:r>
            <w:rPr>
              <w:rFonts w:hint="eastAsia" w:ascii="仿宋_GB2312" w:eastAsia="仿宋_GB2312"/>
              <w:sz w:val="32"/>
              <w:szCs w:val="32"/>
            </w:rPr>
            <w:t>14</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"_Toc135212464" </w:instrText>
          </w:r>
          <w:r>
            <w:fldChar w:fldCharType="separate"/>
          </w:r>
          <w:r>
            <w:rPr>
              <w:rStyle w:val="12"/>
              <w:rFonts w:hint="eastAsia" w:ascii="仿宋_GB2312" w:eastAsia="仿宋_GB2312"/>
              <w:sz w:val="32"/>
              <w:szCs w:val="32"/>
            </w:rPr>
            <w:t>（四）结转结余率</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_Toc135212464 \h </w:instrText>
          </w:r>
          <w:r>
            <w:rPr>
              <w:rFonts w:hint="eastAsia" w:ascii="仿宋_GB2312" w:eastAsia="仿宋_GB2312"/>
              <w:sz w:val="32"/>
              <w:szCs w:val="32"/>
            </w:rPr>
            <w:fldChar w:fldCharType="separate"/>
          </w:r>
          <w:r>
            <w:rPr>
              <w:rFonts w:hint="eastAsia" w:ascii="仿宋_GB2312" w:eastAsia="仿宋_GB2312"/>
              <w:sz w:val="32"/>
              <w:szCs w:val="32"/>
            </w:rPr>
            <w:t>14</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"_Toc135212465" </w:instrText>
          </w:r>
          <w:r>
            <w:fldChar w:fldCharType="separate"/>
          </w:r>
          <w:r>
            <w:rPr>
              <w:rStyle w:val="12"/>
              <w:rFonts w:hint="eastAsia" w:ascii="仿宋_GB2312" w:eastAsia="仿宋_GB2312"/>
              <w:sz w:val="32"/>
              <w:szCs w:val="32"/>
            </w:rPr>
            <w:t>（五）部门预决算差异率</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_Toc135212465 \h </w:instrText>
          </w:r>
          <w:r>
            <w:rPr>
              <w:rFonts w:hint="eastAsia" w:ascii="仿宋_GB2312" w:eastAsia="仿宋_GB2312"/>
              <w:sz w:val="32"/>
              <w:szCs w:val="32"/>
            </w:rPr>
            <w:fldChar w:fldCharType="separate"/>
          </w:r>
          <w:r>
            <w:rPr>
              <w:rFonts w:hint="eastAsia" w:ascii="仿宋_GB2312" w:eastAsia="仿宋_GB2312"/>
              <w:sz w:val="32"/>
              <w:szCs w:val="32"/>
            </w:rPr>
            <w:t>15</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7"/>
            <w:tabs>
              <w:tab w:val="right" w:leader="dot" w:pos="8296"/>
            </w:tabs>
            <w:rPr>
              <w:rFonts w:ascii="仿宋_GB2312" w:eastAsia="仿宋_GB2312" w:hAnsiTheme="minorHAnsi" w:cstheme="minorBidi"/>
              <w:sz w:val="32"/>
              <w:szCs w:val="32"/>
            </w:rPr>
          </w:pPr>
          <w:r>
            <w:fldChar w:fldCharType="begin"/>
          </w:r>
          <w:r>
            <w:instrText xml:space="preserve"> HYPERLINK \l "_Toc135212466" </w:instrText>
          </w:r>
          <w:r>
            <w:fldChar w:fldCharType="separate"/>
          </w:r>
          <w:r>
            <w:rPr>
              <w:rStyle w:val="12"/>
              <w:rFonts w:hint="eastAsia" w:ascii="仿宋_GB2312" w:hAnsi="黑体" w:eastAsia="仿宋_GB2312" w:cs="仿宋_GB2312"/>
              <w:sz w:val="32"/>
              <w:szCs w:val="32"/>
            </w:rPr>
            <w:t>五、总体评价结论</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_Toc135212466 \h </w:instrText>
          </w:r>
          <w:r>
            <w:rPr>
              <w:rFonts w:hint="eastAsia" w:ascii="仿宋_GB2312" w:eastAsia="仿宋_GB2312"/>
              <w:sz w:val="32"/>
              <w:szCs w:val="32"/>
            </w:rPr>
            <w:fldChar w:fldCharType="separate"/>
          </w:r>
          <w:r>
            <w:rPr>
              <w:rFonts w:hint="eastAsia" w:ascii="仿宋_GB2312" w:eastAsia="仿宋_GB2312"/>
              <w:sz w:val="32"/>
              <w:szCs w:val="32"/>
            </w:rPr>
            <w:t>15</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"_Toc135212467" </w:instrText>
          </w:r>
          <w:r>
            <w:fldChar w:fldCharType="separate"/>
          </w:r>
          <w:r>
            <w:rPr>
              <w:rStyle w:val="12"/>
              <w:rFonts w:hint="eastAsia" w:ascii="仿宋_GB2312" w:eastAsia="仿宋_GB2312"/>
              <w:sz w:val="32"/>
              <w:szCs w:val="32"/>
            </w:rPr>
            <w:t>（一）评价得分情况</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_Toc135212467 \h </w:instrText>
          </w:r>
          <w:r>
            <w:rPr>
              <w:rFonts w:hint="eastAsia" w:ascii="仿宋_GB2312" w:eastAsia="仿宋_GB2312"/>
              <w:sz w:val="32"/>
              <w:szCs w:val="32"/>
            </w:rPr>
            <w:fldChar w:fldCharType="separate"/>
          </w:r>
          <w:r>
            <w:rPr>
              <w:rFonts w:hint="eastAsia" w:ascii="仿宋_GB2312" w:eastAsia="仿宋_GB2312"/>
              <w:sz w:val="32"/>
              <w:szCs w:val="32"/>
            </w:rPr>
            <w:t>15</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tabs>
              <w:tab w:val="right" w:leader="dot" w:pos="8296"/>
            </w:tabs>
            <w:rPr>
              <w:rFonts w:ascii="仿宋_GB2312" w:eastAsia="仿宋_GB2312" w:hAnsiTheme="minorHAnsi" w:cstheme="minorBidi"/>
              <w:sz w:val="32"/>
              <w:szCs w:val="32"/>
            </w:rPr>
          </w:pPr>
          <w:r>
            <w:fldChar w:fldCharType="begin"/>
          </w:r>
          <w:r>
            <w:instrText xml:space="preserve"> HYPERLINK \l "_Toc135212468" </w:instrText>
          </w:r>
          <w:r>
            <w:fldChar w:fldCharType="separate"/>
          </w:r>
          <w:r>
            <w:rPr>
              <w:rStyle w:val="12"/>
              <w:rFonts w:hint="eastAsia" w:ascii="仿宋_GB2312" w:eastAsia="仿宋_GB2312"/>
              <w:sz w:val="32"/>
              <w:szCs w:val="32"/>
            </w:rPr>
            <w:t>（二）存在的问题及原因分析</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_Toc135212468 \h </w:instrText>
          </w:r>
          <w:r>
            <w:rPr>
              <w:rFonts w:hint="eastAsia" w:ascii="仿宋_GB2312" w:eastAsia="仿宋_GB2312"/>
              <w:sz w:val="32"/>
              <w:szCs w:val="32"/>
            </w:rPr>
            <w:fldChar w:fldCharType="separate"/>
          </w:r>
          <w:r>
            <w:rPr>
              <w:rFonts w:hint="eastAsia" w:ascii="仿宋_GB2312" w:eastAsia="仿宋_GB2312"/>
              <w:sz w:val="32"/>
              <w:szCs w:val="32"/>
            </w:rPr>
            <w:t>15</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7"/>
            <w:tabs>
              <w:tab w:val="right" w:leader="dot" w:pos="8296"/>
            </w:tabs>
            <w:rPr>
              <w:rFonts w:ascii="仿宋_GB2312" w:eastAsia="仿宋_GB2312" w:hAnsiTheme="minorHAnsi" w:cstheme="minorBidi"/>
              <w:sz w:val="32"/>
              <w:szCs w:val="32"/>
            </w:rPr>
          </w:pPr>
          <w:r>
            <w:fldChar w:fldCharType="begin"/>
          </w:r>
          <w:r>
            <w:instrText xml:space="preserve"> HYPERLINK \l "_Toc135212469" </w:instrText>
          </w:r>
          <w:r>
            <w:fldChar w:fldCharType="separate"/>
          </w:r>
          <w:r>
            <w:rPr>
              <w:rStyle w:val="12"/>
              <w:rFonts w:hint="eastAsia" w:ascii="仿宋_GB2312" w:hAnsi="黑体" w:eastAsia="仿宋_GB2312" w:cs="仿宋_GB2312"/>
              <w:kern w:val="0"/>
              <w:sz w:val="32"/>
              <w:szCs w:val="32"/>
            </w:rPr>
            <w:t>六、措施建议</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_Toc135212469 \h </w:instrText>
          </w:r>
          <w:r>
            <w:rPr>
              <w:rFonts w:hint="eastAsia" w:ascii="仿宋_GB2312" w:eastAsia="仿宋_GB2312"/>
              <w:sz w:val="32"/>
              <w:szCs w:val="32"/>
            </w:rPr>
            <w:fldChar w:fldCharType="separate"/>
          </w:r>
          <w:r>
            <w:rPr>
              <w:rFonts w:hint="eastAsia" w:ascii="仿宋_GB2312" w:eastAsia="仿宋_GB2312"/>
              <w:sz w:val="32"/>
              <w:szCs w:val="32"/>
            </w:rPr>
            <w:t>16</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7"/>
            <w:tabs>
              <w:tab w:val="right" w:leader="dot" w:pos="8296"/>
            </w:tabs>
            <w:rPr>
              <w:rFonts w:ascii="仿宋_GB2312" w:eastAsia="仿宋_GB2312" w:hAnsiTheme="minorHAnsi" w:cstheme="minorBidi"/>
              <w:sz w:val="32"/>
              <w:szCs w:val="32"/>
            </w:rPr>
          </w:pPr>
          <w:r>
            <w:fldChar w:fldCharType="begin"/>
          </w:r>
          <w:r>
            <w:instrText xml:space="preserve"> HYPERLINK \l "_Toc135212470" </w:instrText>
          </w:r>
          <w:r>
            <w:fldChar w:fldCharType="separate"/>
          </w:r>
          <w:r>
            <w:rPr>
              <w:rStyle w:val="12"/>
              <w:rFonts w:hint="eastAsia" w:ascii="仿宋_GB2312" w:hAnsi="黑体" w:eastAsia="仿宋_GB2312" w:cs="仿宋_GB2312"/>
              <w:kern w:val="0"/>
              <w:sz w:val="32"/>
              <w:szCs w:val="32"/>
            </w:rPr>
            <w:t>七、附件</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_Toc135212470 \h </w:instrText>
          </w:r>
          <w:r>
            <w:rPr>
              <w:rFonts w:hint="eastAsia" w:ascii="仿宋_GB2312" w:eastAsia="仿宋_GB2312"/>
              <w:sz w:val="32"/>
              <w:szCs w:val="32"/>
            </w:rPr>
            <w:fldChar w:fldCharType="separate"/>
          </w:r>
          <w:r>
            <w:rPr>
              <w:rFonts w:hint="eastAsia" w:ascii="仿宋_GB2312" w:eastAsia="仿宋_GB2312"/>
              <w:sz w:val="32"/>
              <w:szCs w:val="32"/>
            </w:rPr>
            <w:t>16</w:t>
          </w:r>
          <w:r>
            <w:rPr>
              <w:rFonts w:hint="eastAsia" w:ascii="仿宋_GB2312" w:eastAsia="仿宋_GB2312"/>
              <w:sz w:val="32"/>
              <w:szCs w:val="32"/>
            </w:rPr>
            <w:fldChar w:fldCharType="end"/>
          </w:r>
          <w:r>
            <w:rPr>
              <w:rFonts w:hint="eastAsia" w:ascii="仿宋_GB2312" w:eastAsia="仿宋_GB2312"/>
              <w:sz w:val="32"/>
              <w:szCs w:val="32"/>
            </w:rPr>
            <w:fldChar w:fldCharType="end"/>
          </w:r>
        </w:p>
        <w:p>
          <w:pPr>
            <w:spacing w:line="360" w:lineRule="auto"/>
            <w:rPr>
              <w:rFonts w:ascii="方正小标宋简体" w:eastAsia="方正小标宋简体"/>
              <w:sz w:val="36"/>
              <w:szCs w:val="36"/>
            </w:rPr>
          </w:pPr>
          <w:r>
            <w:rPr>
              <w:rFonts w:hint="eastAsia" w:ascii="仿宋_GB2312" w:hAnsi="仿宋_GB2312" w:eastAsia="仿宋_GB2312" w:cs="仿宋_GB2312"/>
              <w:sz w:val="32"/>
              <w:szCs w:val="32"/>
            </w:rPr>
            <w:fldChar w:fldCharType="end"/>
          </w:r>
        </w:p>
      </w:sdtContent>
    </w:sdt>
    <w:p>
      <w:pPr>
        <w:jc w:val="center"/>
        <w:rPr>
          <w:rFonts w:ascii="方正小标宋简体" w:eastAsia="方正小标宋简体"/>
          <w:sz w:val="36"/>
          <w:szCs w:val="36"/>
        </w:rPr>
        <w:sectPr>
          <w:pgSz w:w="11906" w:h="16838"/>
          <w:pgMar w:top="1440" w:right="1800" w:bottom="1440" w:left="1800" w:header="851" w:footer="992" w:gutter="0"/>
          <w:pgNumType w:start="1"/>
          <w:cols w:space="425" w:num="1"/>
          <w:docGrid w:type="lines" w:linePitch="312" w:charSpace="0"/>
        </w:sectPr>
      </w:pPr>
      <w:bookmarkStart w:id="0" w:name="_Toc4180"/>
      <w:bookmarkStart w:id="1" w:name="_Toc8629"/>
      <w:bookmarkStart w:id="2" w:name="_Toc16254"/>
      <w:r>
        <w:rPr>
          <w:rFonts w:ascii="方正小标宋简体" w:eastAsia="方正小标宋简体"/>
          <w:sz w:val="36"/>
          <w:szCs w:val="36"/>
        </w:rPr>
        <w:br w:type="page"/>
      </w:r>
    </w:p>
    <w:p>
      <w:pPr>
        <w:jc w:val="center"/>
        <w:rPr>
          <w:rFonts w:ascii="方正小标宋简体" w:eastAsia="方正小标宋简体"/>
          <w:sz w:val="36"/>
          <w:szCs w:val="36"/>
        </w:rPr>
      </w:pPr>
    </w:p>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台湾民主自治同盟北京市委员会</w:t>
      </w:r>
    </w:p>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部门整体绩效评价报告</w:t>
      </w:r>
      <w:bookmarkEnd w:id="0"/>
      <w:bookmarkEnd w:id="1"/>
      <w:bookmarkEnd w:id="2"/>
    </w:p>
    <w:p>
      <w:pPr>
        <w:jc w:val="center"/>
        <w:rPr>
          <w:rFonts w:ascii="仿宋_GB2312"/>
          <w:szCs w:val="30"/>
        </w:rPr>
      </w:pPr>
    </w:p>
    <w:p>
      <w:pPr>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为全面实施预算绩效管理，切实增强部门支出责任和效率意识，提升财政资金使用效率和政府部门管理水平，依据《中共北京市委 北京市人民政府关于全面实施预算绩效管理的实施意见》（京发〔2019〕12号）、《北京市项目支出绩效评价管理办法》（京财绩效〔2020〕2146号）等文件规定开展部门整体绩效评价，并形成本部门整体绩效评价报告。</w:t>
      </w:r>
    </w:p>
    <w:p>
      <w:pPr>
        <w:spacing w:line="360" w:lineRule="auto"/>
        <w:ind w:firstLine="640" w:firstLineChars="200"/>
        <w:outlineLvl w:val="0"/>
        <w:rPr>
          <w:rFonts w:ascii="黑体" w:hAnsi="黑体" w:eastAsia="黑体" w:cs="仿宋_GB2312"/>
          <w:color w:val="000000"/>
          <w:kern w:val="0"/>
          <w:sz w:val="32"/>
          <w:szCs w:val="32"/>
        </w:rPr>
      </w:pPr>
      <w:bookmarkStart w:id="3" w:name="_Toc135212453"/>
      <w:r>
        <w:rPr>
          <w:rFonts w:hint="eastAsia" w:ascii="黑体" w:hAnsi="黑体" w:eastAsia="黑体" w:cs="仿宋_GB2312"/>
          <w:color w:val="000000"/>
          <w:kern w:val="0"/>
          <w:sz w:val="32"/>
          <w:szCs w:val="32"/>
        </w:rPr>
        <w:t>一、部门概况</w:t>
      </w:r>
      <w:bookmarkEnd w:id="3"/>
    </w:p>
    <w:p>
      <w:pPr>
        <w:pStyle w:val="3"/>
        <w:spacing w:before="0" w:after="0" w:line="240" w:lineRule="auto"/>
        <w:ind w:firstLine="643" w:firstLineChars="200"/>
        <w:rPr>
          <w:rFonts w:ascii="仿宋_GB2312" w:eastAsia="仿宋_GB2312"/>
        </w:rPr>
      </w:pPr>
      <w:bookmarkStart w:id="4" w:name="_Toc135212454"/>
      <w:r>
        <w:rPr>
          <w:rFonts w:hint="eastAsia" w:ascii="仿宋_GB2312" w:eastAsia="仿宋_GB2312"/>
        </w:rPr>
        <w:t>（一）机构设置及职责工作任务情况</w:t>
      </w:r>
      <w:bookmarkEnd w:id="4"/>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1.机构设置</w:t>
      </w:r>
    </w:p>
    <w:p>
      <w:pPr>
        <w:spacing w:line="360" w:lineRule="auto"/>
        <w:ind w:firstLine="640" w:firstLineChars="200"/>
        <w:rPr>
          <w:rFonts w:ascii="仿宋_GB2312" w:hAnsi="仿宋_GB2312" w:eastAsia="仿宋_GB2312" w:cs="仿宋_GB2312"/>
          <w:sz w:val="32"/>
          <w:szCs w:val="32"/>
        </w:rPr>
      </w:pPr>
      <w:bookmarkStart w:id="5" w:name="OLE_LINK2"/>
      <w:r>
        <w:rPr>
          <w:rFonts w:hint="eastAsia" w:ascii="仿宋_GB2312" w:hAnsi="仿宋_GB2312" w:eastAsia="仿宋_GB2312" w:cs="仿宋_GB2312"/>
          <w:sz w:val="32"/>
          <w:szCs w:val="32"/>
        </w:rPr>
        <w:t>台湾民主自治同盟是由台湾省人士为主组成的社会主义劳动者、社会主义事业建设者、拥护社会主义爱国者的政治联盟，是接受中国共产党领导、同中国共产党通力合作的亲密友党，是中国共产党领导的多党合作和政治协商制度中的中国特色社会主义参政党。台盟北京市委在台盟中央的领导和中共北京市委统战部的指导下独立开展工作。主要任务是履行参政议政、民主监督、参加</w:t>
      </w:r>
      <w:r>
        <w:rPr>
          <w:rFonts w:ascii="仿宋_GB2312" w:hAnsi="仿宋_GB2312" w:eastAsia="仿宋_GB2312" w:cs="仿宋_GB2312"/>
          <w:sz w:val="32"/>
          <w:szCs w:val="32"/>
        </w:rPr>
        <w:t>中国共产党领导的政治协商的基本职能。</w:t>
      </w:r>
      <w:r>
        <w:rPr>
          <w:rFonts w:hint="eastAsia" w:ascii="仿宋_GB2312" w:hAnsi="仿宋_GB2312" w:eastAsia="仿宋_GB2312" w:cs="仿宋_GB2312"/>
          <w:sz w:val="32"/>
          <w:szCs w:val="32"/>
        </w:rPr>
        <w:t>民主党派政治协商、等职能，深入开展调查研究，为首都的发展提出建议、反映意见，并不断加强自身思想建设和组织建设，组织盟员开展各类有意义的学习和活动，团结带领广大盟员充分发挥自身优势和特点，在各自的工作岗位上为社会主义现代化建设事业和首都经济发展贡献力量。同时台盟北京市委始终致力于祖国统一大业，把对台工作放到了突出的位置，不断拓宽对台工作思路，加强对台宣传，研究台湾情况，开展调查研究，广泛联络、接待岛内外各界人士，积极促进两岸人民交流交往，为在京台商和台生服务,开展了大量争取台湾民心的工作。</w:t>
      </w:r>
    </w:p>
    <w:bookmarkEnd w:id="5"/>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2.职能机构设置及岗位职责划分</w:t>
      </w:r>
    </w:p>
    <w:p>
      <w:pPr>
        <w:spacing w:line="360" w:lineRule="auto"/>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合理设置内部职能机构，明确机构的职责权限，避免职能交叉、缺失或权责过于集中，形成各司其职、各负其责、相互制约、相互协调的工作机制。对内部各职能机构的职责进行科学合理的分解，确定具体岗位的名称、职责和工作要求等，明确各个岗位的职责权限和相互关系。</w:t>
      </w:r>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台盟北京市委</w:t>
      </w:r>
      <w:r>
        <w:rPr>
          <w:rFonts w:hint="eastAsia" w:ascii="仿宋_GB2312" w:eastAsia="仿宋_GB2312"/>
          <w:sz w:val="32"/>
          <w:szCs w:val="32"/>
        </w:rPr>
        <w:t>设有办公室、组织处、宣传调研处、联络处(社会服务处)。</w:t>
      </w:r>
      <w:r>
        <w:rPr>
          <w:rFonts w:hint="eastAsia" w:ascii="仿宋_GB2312" w:hAnsi="仿宋_GB2312" w:eastAsia="仿宋_GB2312" w:cs="仿宋_GB2312"/>
          <w:sz w:val="32"/>
          <w:szCs w:val="32"/>
        </w:rPr>
        <w:t>其中：</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办公室是负责台盟北京市委机关管理和服务的综合部门，主要承担行政事务、机关建设、后勤保障和应急管理等工作。负责协助机关领导管理机关日常工作；办理本单位人事、财务综合性行政事务工作；重要会议和活动的会务管理工作；制定机关管理的规章制度工作；开展机关纪检监察和廉政建设工作；社会治安综合治理和维护社会稳定工作；沟通协调外单位工作；老干部工作。</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处是负责台盟北京市委组织建设工作的业务部门，主要承担组织发展、组织建设与盟员培养管理等工作。负责编制和起草组织工作相关文件；各级组织的组建、调整和换届相关工作；组织建设方面的调查研究工作；盟员发展、推荐和培养工作；后备干部、代表人士队伍建设等工作；各类社会职务人选推荐工作。</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宣传调研处是负责台盟北京市委思想宣传教育、参政议政工作的业务部门，主要承担思想政治建设、对内对外宣传、文史盟志、参政议政、政治协商、专项民主监督和理论研究等工作。负责统筹全市盟员的思想政治理论学习和形势教育；负责开展专题思想政治教育工作、宣传教育工作、重大纪念日活动等工作；对内对外宣传工作；文史和修志工作；编制和起草参政议政、民主监督、参加中国共产党领导的政治协商以及理论研究相关工作规划和计划；落实台盟北京市委参与和开展政治协商、民主监督、参政议政、理论研究等相关组织工作。</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络处(社会服务处)是负责台盟北京市委对台联络、对台交流、台情研究、联络在京台生等工作、社会服务、公益帮扶、脱贫攻坚民主监督等的业务部门。负责组织学习、宣传、贯彻中共中央对台方针政策工作；组织开展涉台调研和台情研究工作；组织开展两岸交流交往工作；联络在京台生工作；组织开展和参与脱贫攻坚民主监督等工作；组织开展社会服务和公益事业工作；负责联络在京台商等工作。</w:t>
      </w:r>
    </w:p>
    <w:p>
      <w:pPr>
        <w:pStyle w:val="3"/>
        <w:spacing w:before="0" w:after="0" w:line="240" w:lineRule="auto"/>
        <w:ind w:firstLine="643" w:firstLineChars="200"/>
        <w:rPr>
          <w:rFonts w:ascii="仿宋_GB2312" w:eastAsia="仿宋_GB2312"/>
          <w:color w:val="auto"/>
        </w:rPr>
      </w:pPr>
      <w:bookmarkStart w:id="6" w:name="_Toc135212455"/>
      <w:r>
        <w:rPr>
          <w:rFonts w:hint="eastAsia" w:ascii="仿宋_GB2312" w:eastAsia="仿宋_GB2312"/>
          <w:color w:val="auto"/>
        </w:rPr>
        <w:t>（二）部门整体绩效目标设立情况</w:t>
      </w:r>
      <w:bookmarkEnd w:id="6"/>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w:t>
      </w:r>
      <w:r>
        <w:rPr>
          <w:rFonts w:hint="eastAsia" w:ascii="仿宋_GB2312" w:hAnsi="仿宋" w:eastAsia="仿宋_GB2312"/>
          <w:sz w:val="32"/>
          <w:szCs w:val="32"/>
        </w:rPr>
        <w:t>台盟北京市委</w:t>
      </w:r>
      <w:r>
        <w:rPr>
          <w:rFonts w:hint="eastAsia" w:ascii="仿宋_GB2312" w:hAnsi="仿宋_GB2312" w:eastAsia="仿宋_GB2312" w:cs="仿宋_GB2312"/>
          <w:sz w:val="32"/>
          <w:szCs w:val="32"/>
        </w:rPr>
        <w:t>结合北京市行业和专业领域的发展趋势根据实际工作内容，</w:t>
      </w:r>
      <w:r>
        <w:rPr>
          <w:rFonts w:hint="eastAsia" w:ascii="仿宋_GB2312" w:hAnsi="宋体" w:eastAsia="仿宋_GB2312" w:cs="宋体"/>
          <w:color w:val="000000"/>
          <w:kern w:val="0"/>
          <w:sz w:val="32"/>
          <w:szCs w:val="32"/>
        </w:rPr>
        <w:t>按照预算管理系统中部门绩效目标格式填报了部门整体绩效目标表，设定了部门绩效目标和绩效指标。</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1.部门绩效目标</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履行民主党派政治协商、民主监督、参政议政等职能，深入开展调查研究，为首都的发展提出建议、反映意见，并不断加强自身思想建设和组织建设，组织盟员开展各类有意义的学习和活动，团结带领广大盟员充分发挥自身优势和特点，在各自的工作岗位上为中国特色现代化建设事业和首都经济发展贡献力量。</w:t>
      </w:r>
    </w:p>
    <w:p>
      <w:pPr>
        <w:spacing w:line="360" w:lineRule="auto"/>
        <w:ind w:firstLine="640" w:firstLineChars="200"/>
        <w:rPr>
          <w:rFonts w:ascii="仿宋_GB2312" w:hAnsi="宋体" w:eastAsia="仿宋_GB2312" w:cs="宋体"/>
          <w:b/>
          <w:color w:val="000000"/>
          <w:kern w:val="0"/>
          <w:sz w:val="32"/>
          <w:szCs w:val="32"/>
        </w:rPr>
      </w:pPr>
      <w:r>
        <w:rPr>
          <w:rFonts w:hint="eastAsia" w:ascii="仿宋_GB2312" w:hAnsi="宋体" w:eastAsia="仿宋_GB2312" w:cs="宋体"/>
          <w:color w:val="000000"/>
          <w:kern w:val="0"/>
          <w:sz w:val="32"/>
          <w:szCs w:val="32"/>
        </w:rPr>
        <w:t>2.绩效指标</w:t>
      </w:r>
    </w:p>
    <w:p>
      <w:pPr>
        <w:spacing w:line="360" w:lineRule="auto"/>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（1）定点帮扶，设定社会效益指标：得到台盟中央和北京市上级部门的认可。</w:t>
      </w:r>
      <w:r>
        <w:rPr>
          <w:rFonts w:hint="eastAsia" w:ascii="仿宋_GB2312" w:hAnsi="宋体" w:eastAsia="仿宋_GB2312" w:cs="宋体"/>
          <w:bCs/>
          <w:color w:val="000000"/>
          <w:kern w:val="0"/>
          <w:sz w:val="32"/>
          <w:szCs w:val="32"/>
        </w:rPr>
        <w:tab/>
      </w:r>
    </w:p>
    <w:p>
      <w:pPr>
        <w:spacing w:line="360" w:lineRule="auto"/>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（2）联络交流，设定社会效益指标：反映对台联络工作方式。</w:t>
      </w:r>
      <w:r>
        <w:rPr>
          <w:rFonts w:hint="eastAsia" w:ascii="仿宋_GB2312" w:hAnsi="宋体" w:eastAsia="仿宋_GB2312" w:cs="宋体"/>
          <w:bCs/>
          <w:color w:val="000000"/>
          <w:kern w:val="0"/>
          <w:sz w:val="32"/>
          <w:szCs w:val="32"/>
        </w:rPr>
        <w:tab/>
      </w:r>
    </w:p>
    <w:p>
      <w:pPr>
        <w:spacing w:line="360" w:lineRule="auto"/>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（3）组织活动，设定数量指标：市、区级盟员培训次数≥2次</w:t>
      </w:r>
    </w:p>
    <w:p>
      <w:pPr>
        <w:spacing w:line="360" w:lineRule="auto"/>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（4）调研活动，设定数量指标：重点调研课题个数≥8个</w:t>
      </w:r>
    </w:p>
    <w:p>
      <w:pPr>
        <w:spacing w:line="360" w:lineRule="auto"/>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（5）盟务活动，设定服务对象满意度指标：盟员满意度。</w:t>
      </w:r>
      <w:r>
        <w:rPr>
          <w:rFonts w:hint="eastAsia" w:ascii="仿宋_GB2312" w:hAnsi="宋体" w:eastAsia="仿宋_GB2312" w:cs="宋体"/>
          <w:bCs/>
          <w:color w:val="000000"/>
          <w:kern w:val="0"/>
          <w:sz w:val="32"/>
          <w:szCs w:val="32"/>
        </w:rPr>
        <w:tab/>
      </w:r>
    </w:p>
    <w:p>
      <w:pPr>
        <w:spacing w:line="360" w:lineRule="auto"/>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（6）宣传教育:设定服务对象满意度指标：盟员满意度，指标值优良中差。</w:t>
      </w:r>
      <w:r>
        <w:rPr>
          <w:rFonts w:hint="eastAsia" w:ascii="仿宋_GB2312" w:hAnsi="宋体" w:eastAsia="仿宋_GB2312" w:cs="宋体"/>
          <w:bCs/>
          <w:color w:val="000000"/>
          <w:kern w:val="0"/>
          <w:sz w:val="32"/>
          <w:szCs w:val="32"/>
        </w:rPr>
        <w:tab/>
      </w:r>
    </w:p>
    <w:p>
      <w:pPr>
        <w:numPr>
          <w:ilvl w:val="0"/>
          <w:numId w:val="0"/>
        </w:numPr>
        <w:spacing w:line="360" w:lineRule="auto"/>
        <w:ind w:firstLine="640" w:firstLineChars="200"/>
        <w:rPr>
          <w:rFonts w:hint="eastAsia" w:ascii="仿宋_GB2312" w:eastAsia="仿宋_GB2312" w:cs="宋体" w:hAnsiTheme="minorEastAsia"/>
          <w:bCs/>
          <w:color w:val="000000"/>
          <w:kern w:val="0"/>
          <w:sz w:val="32"/>
          <w:szCs w:val="32"/>
        </w:rPr>
      </w:pPr>
      <w:r>
        <w:rPr>
          <w:rFonts w:hint="eastAsia" w:ascii="仿宋_GB2312" w:hAnsi="宋体" w:eastAsia="仿宋_GB2312" w:cs="宋体"/>
          <w:bCs/>
          <w:color w:val="000000"/>
          <w:kern w:val="0"/>
          <w:sz w:val="32"/>
          <w:szCs w:val="32"/>
        </w:rPr>
        <w:t>（7）绩效评价等服务费，设定经济成本指标：成本金额≤</w:t>
      </w:r>
      <w:r>
        <w:rPr>
          <w:rFonts w:hint="eastAsia" w:ascii="仿宋_GB2312" w:hAnsi="宋体" w:eastAsia="仿宋_GB2312" w:cs="宋体"/>
          <w:bCs/>
          <w:color w:val="000000"/>
          <w:kern w:val="0"/>
          <w:sz w:val="32"/>
          <w:szCs w:val="32"/>
          <w:lang w:val="en-US" w:eastAsia="zh-CN"/>
        </w:rPr>
        <w:t>5</w:t>
      </w:r>
      <w:r>
        <w:rPr>
          <w:rFonts w:hint="eastAsia" w:ascii="仿宋_GB2312" w:hAnsi="宋体" w:eastAsia="仿宋_GB2312" w:cs="宋体"/>
          <w:bCs/>
          <w:color w:val="000000"/>
          <w:kern w:val="0"/>
          <w:sz w:val="32"/>
          <w:szCs w:val="32"/>
        </w:rPr>
        <w:t>万元。</w:t>
      </w:r>
    </w:p>
    <w:p>
      <w:pPr>
        <w:spacing w:line="360" w:lineRule="auto"/>
        <w:ind w:firstLine="640" w:firstLineChars="200"/>
        <w:outlineLvl w:val="0"/>
        <w:rPr>
          <w:rFonts w:ascii="黑体" w:hAnsi="黑体" w:eastAsia="黑体" w:cs="仿宋_GB2312"/>
          <w:color w:val="000000"/>
          <w:kern w:val="0"/>
          <w:sz w:val="32"/>
          <w:szCs w:val="32"/>
        </w:rPr>
      </w:pPr>
      <w:bookmarkStart w:id="7" w:name="_Toc135212456"/>
      <w:r>
        <w:rPr>
          <w:rFonts w:hint="eastAsia" w:ascii="黑体" w:hAnsi="黑体" w:eastAsia="黑体" w:cs="仿宋_GB2312"/>
          <w:color w:val="000000"/>
          <w:kern w:val="0"/>
          <w:sz w:val="32"/>
          <w:szCs w:val="32"/>
        </w:rPr>
        <w:t>二、当年预算执行情况</w:t>
      </w:r>
      <w:bookmarkEnd w:id="7"/>
    </w:p>
    <w:p>
      <w:pPr>
        <w:spacing w:line="360" w:lineRule="auto"/>
        <w:ind w:firstLine="640" w:firstLineChars="200"/>
        <w:rPr>
          <w:rFonts w:ascii="仿宋_GB2312" w:hAnsi="仿宋_GB2312" w:eastAsia="仿宋_GB2312" w:cs="仿宋_GB2312"/>
          <w:color w:val="000000"/>
          <w:kern w:val="0"/>
          <w:sz w:val="32"/>
          <w:szCs w:val="32"/>
        </w:rPr>
      </w:pPr>
      <w:bookmarkStart w:id="8" w:name="_Hlk103872600"/>
      <w:r>
        <w:rPr>
          <w:rFonts w:hint="eastAsia" w:ascii="仿宋_GB2312" w:hAnsi="仿宋_GB2312" w:eastAsia="仿宋_GB2312" w:cs="仿宋_GB2312"/>
          <w:color w:val="000000"/>
          <w:kern w:val="0"/>
          <w:sz w:val="32"/>
          <w:szCs w:val="32"/>
        </w:rPr>
        <w:t>202</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年全年预算数</w:t>
      </w:r>
      <w:bookmarkStart w:id="9" w:name="_Hlk103842967"/>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446</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610887</w:t>
      </w:r>
      <w:bookmarkEnd w:id="9"/>
      <w:r>
        <w:rPr>
          <w:rFonts w:hint="eastAsia" w:ascii="仿宋_GB2312" w:hAnsi="仿宋_GB2312" w:eastAsia="仿宋_GB2312" w:cs="仿宋_GB2312"/>
          <w:color w:val="000000"/>
          <w:kern w:val="0"/>
          <w:sz w:val="32"/>
          <w:szCs w:val="32"/>
        </w:rPr>
        <w:t>万元，其中，基本支出预算数1</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233</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859987万元，项目支出预算数</w:t>
      </w:r>
      <w:r>
        <w:rPr>
          <w:rFonts w:hint="eastAsia" w:ascii="仿宋_GB2312" w:hAnsi="仿宋_GB2312" w:eastAsia="仿宋_GB2312" w:cs="仿宋_GB2312"/>
          <w:color w:val="000000"/>
          <w:kern w:val="0"/>
          <w:sz w:val="32"/>
          <w:szCs w:val="32"/>
          <w:highlight w:val="none"/>
        </w:rPr>
        <w:t>212</w:t>
      </w:r>
      <w:r>
        <w:rPr>
          <w:rFonts w:hint="eastAsia" w:ascii="仿宋_GB2312" w:hAnsi="仿宋_GB2312" w:eastAsia="仿宋_GB2312" w:cs="仿宋_GB2312"/>
          <w:color w:val="000000"/>
          <w:kern w:val="0"/>
          <w:sz w:val="32"/>
          <w:szCs w:val="32"/>
          <w:highlight w:val="none"/>
          <w:lang w:val="en-US" w:eastAsia="zh-CN"/>
        </w:rPr>
        <w:t>.</w:t>
      </w:r>
      <w:r>
        <w:rPr>
          <w:rFonts w:hint="eastAsia" w:ascii="仿宋_GB2312" w:hAnsi="仿宋_GB2312" w:eastAsia="仿宋_GB2312" w:cs="仿宋_GB2312"/>
          <w:color w:val="000000"/>
          <w:kern w:val="0"/>
          <w:sz w:val="32"/>
          <w:szCs w:val="32"/>
          <w:highlight w:val="none"/>
        </w:rPr>
        <w:t>7509</w:t>
      </w:r>
      <w:r>
        <w:rPr>
          <w:rFonts w:hint="eastAsia" w:ascii="仿宋_GB2312" w:hAnsi="仿宋_GB2312" w:eastAsia="仿宋_GB2312" w:cs="仿宋_GB2312"/>
          <w:color w:val="000000"/>
          <w:kern w:val="0"/>
          <w:sz w:val="32"/>
          <w:szCs w:val="32"/>
        </w:rPr>
        <w:t>万元；资金总体支出1</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411</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981997万元，其中，基本支出1</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215</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941343万元，项目支出196</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040654元；预算执行率为</w:t>
      </w:r>
      <w:r>
        <w:rPr>
          <w:rFonts w:ascii="仿宋_GB2312" w:hAnsi="仿宋_GB2312" w:eastAsia="仿宋_GB2312" w:cs="仿宋_GB2312"/>
          <w:color w:val="000000"/>
          <w:kern w:val="0"/>
          <w:sz w:val="32"/>
          <w:szCs w:val="32"/>
        </w:rPr>
        <w:t>9</w:t>
      </w:r>
      <w:r>
        <w:rPr>
          <w:rFonts w:hint="eastAsia" w:ascii="仿宋_GB2312" w:hAnsi="仿宋_GB2312" w:eastAsia="仿宋_GB2312" w:cs="仿宋_GB2312"/>
          <w:color w:val="000000"/>
          <w:kern w:val="0"/>
          <w:sz w:val="32"/>
          <w:szCs w:val="32"/>
          <w:lang w:val="en-US" w:eastAsia="zh-CN"/>
        </w:rPr>
        <w:t>7</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61</w:t>
      </w:r>
      <w:r>
        <w:rPr>
          <w:rFonts w:hint="eastAsia" w:ascii="仿宋_GB2312" w:hAnsi="仿宋_GB2312" w:eastAsia="仿宋_GB2312" w:cs="仿宋_GB2312"/>
          <w:color w:val="000000"/>
          <w:kern w:val="0"/>
          <w:sz w:val="32"/>
          <w:szCs w:val="32"/>
        </w:rPr>
        <w:t>%。</w:t>
      </w:r>
      <w:bookmarkEnd w:id="8"/>
    </w:p>
    <w:p>
      <w:pPr>
        <w:spacing w:line="360" w:lineRule="auto"/>
        <w:ind w:firstLine="640" w:firstLineChars="200"/>
        <w:outlineLvl w:val="0"/>
        <w:rPr>
          <w:rFonts w:ascii="黑体" w:hAnsi="黑体" w:eastAsia="黑体" w:cs="仿宋_GB2312"/>
          <w:color w:val="000000"/>
          <w:kern w:val="0"/>
          <w:sz w:val="32"/>
          <w:szCs w:val="32"/>
        </w:rPr>
      </w:pPr>
      <w:bookmarkStart w:id="10" w:name="_Toc135212457"/>
      <w:r>
        <w:rPr>
          <w:rFonts w:hint="eastAsia" w:ascii="黑体" w:hAnsi="黑体" w:eastAsia="黑体" w:cs="仿宋_GB2312"/>
          <w:color w:val="000000"/>
          <w:kern w:val="0"/>
          <w:sz w:val="32"/>
          <w:szCs w:val="32"/>
        </w:rPr>
        <w:t>三、整体绩效目标实现情况</w:t>
      </w:r>
      <w:bookmarkEnd w:id="10"/>
    </w:p>
    <w:p>
      <w:pPr>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华文宋体" w:eastAsia="仿宋_GB2312"/>
          <w:sz w:val="32"/>
          <w:szCs w:val="32"/>
        </w:rPr>
        <w:t>202</w:t>
      </w:r>
      <w:r>
        <w:rPr>
          <w:rFonts w:hint="eastAsia" w:ascii="仿宋_GB2312" w:hAnsi="华文宋体" w:eastAsia="仿宋_GB2312"/>
          <w:sz w:val="32"/>
          <w:szCs w:val="32"/>
          <w:lang w:val="en-US" w:eastAsia="zh-CN"/>
        </w:rPr>
        <w:t>5</w:t>
      </w:r>
      <w:r>
        <w:rPr>
          <w:rFonts w:hint="eastAsia" w:ascii="仿宋_GB2312" w:hAnsi="华文宋体" w:eastAsia="仿宋_GB2312"/>
          <w:sz w:val="32"/>
          <w:szCs w:val="32"/>
        </w:rPr>
        <w:t>年，是中华人民共和国成立7</w:t>
      </w:r>
      <w:r>
        <w:rPr>
          <w:rFonts w:hint="eastAsia" w:ascii="仿宋_GB2312" w:hAnsi="华文宋体" w:eastAsia="仿宋_GB2312"/>
          <w:sz w:val="32"/>
          <w:szCs w:val="32"/>
          <w:lang w:val="en-US" w:eastAsia="zh-CN"/>
        </w:rPr>
        <w:t>6</w:t>
      </w:r>
      <w:r>
        <w:rPr>
          <w:rFonts w:hint="eastAsia" w:ascii="仿宋_GB2312" w:hAnsi="华文宋体" w:eastAsia="仿宋_GB2312"/>
          <w:sz w:val="32"/>
          <w:szCs w:val="32"/>
        </w:rPr>
        <w:t>周年，人民政协成立7</w:t>
      </w:r>
      <w:r>
        <w:rPr>
          <w:rFonts w:hint="eastAsia" w:ascii="仿宋_GB2312" w:hAnsi="华文宋体" w:eastAsia="仿宋_GB2312"/>
          <w:sz w:val="32"/>
          <w:szCs w:val="32"/>
          <w:lang w:val="en-US" w:eastAsia="zh-CN"/>
        </w:rPr>
        <w:t>6</w:t>
      </w:r>
      <w:r>
        <w:rPr>
          <w:rFonts w:hint="eastAsia" w:ascii="仿宋_GB2312" w:hAnsi="华文宋体" w:eastAsia="仿宋_GB2312"/>
          <w:sz w:val="32"/>
          <w:szCs w:val="32"/>
        </w:rPr>
        <w:t>周年，是实现“十四五”规划目标任务的关键之年，也是北京台盟组织成立7</w:t>
      </w:r>
      <w:r>
        <w:rPr>
          <w:rFonts w:hint="eastAsia" w:ascii="仿宋_GB2312" w:hAnsi="华文宋体" w:eastAsia="仿宋_GB2312"/>
          <w:sz w:val="32"/>
          <w:szCs w:val="32"/>
          <w:lang w:val="en-US" w:eastAsia="zh-CN"/>
        </w:rPr>
        <w:t>6</w:t>
      </w:r>
      <w:r>
        <w:rPr>
          <w:rFonts w:hint="eastAsia" w:ascii="仿宋_GB2312" w:hAnsi="华文宋体" w:eastAsia="仿宋_GB2312"/>
          <w:sz w:val="32"/>
          <w:szCs w:val="32"/>
        </w:rPr>
        <w:t>周年。</w:t>
      </w:r>
      <w:bookmarkStart w:id="11" w:name="_Hlk126250301"/>
      <w:r>
        <w:rPr>
          <w:rFonts w:hint="eastAsia" w:ascii="仿宋_GB2312" w:hAnsi="华文宋体" w:eastAsia="仿宋_GB2312"/>
          <w:sz w:val="32"/>
          <w:szCs w:val="32"/>
        </w:rPr>
        <w:t>一年来，台盟北京市第十二届常务委员会</w:t>
      </w:r>
      <w:bookmarkEnd w:id="11"/>
      <w:r>
        <w:rPr>
          <w:rFonts w:hint="eastAsia" w:ascii="仿宋_GB2312" w:hAnsi="华文宋体" w:eastAsia="仿宋_GB2312"/>
          <w:sz w:val="32"/>
          <w:szCs w:val="32"/>
          <w:lang w:val="zh-TW"/>
        </w:rPr>
        <w:t>在台盟中央、中共北京市委的坚强领导下，</w:t>
      </w:r>
      <w:bookmarkStart w:id="12" w:name="_Hlk156159287"/>
      <w:r>
        <w:rPr>
          <w:rFonts w:hint="eastAsia" w:ascii="仿宋_GB2312" w:hAnsi="华文宋体" w:eastAsia="仿宋_GB2312"/>
          <w:sz w:val="32"/>
          <w:szCs w:val="32"/>
          <w:lang w:val="zh-TW"/>
        </w:rPr>
        <w:t>在中共北京市委统战部的正确指导下，</w:t>
      </w:r>
      <w:bookmarkEnd w:id="12"/>
      <w:r>
        <w:rPr>
          <w:rFonts w:hint="eastAsia" w:ascii="仿宋_GB2312" w:hAnsi="华文宋体" w:eastAsia="仿宋_GB2312"/>
          <w:sz w:val="32"/>
          <w:szCs w:val="32"/>
          <w:lang w:val="zh-TW"/>
        </w:rPr>
        <w:t>团结带领各区级组织和广大盟员，坚持以习近平新时代中国特色社会主义思想为指引，深入学习贯彻中共二十大和二十届二中、三中全会精神，台盟十一大精神，中共北京市委十三届五次、六次全会精神，深刻领悟“两个确立”的决定性意义，增强“四个意识”、坚定“四个自信”、做到“两个维护”，紧扣“两岸交流促进年”年度工作主题，锐意进取，守正创新，为推进祖国统一、服务中国式现代化、助力首都高质量发展，做出了新的贡献，取得了新的成绩。</w:t>
      </w:r>
    </w:p>
    <w:p>
      <w:pPr>
        <w:pStyle w:val="3"/>
        <w:spacing w:before="0" w:after="0" w:line="240" w:lineRule="auto"/>
        <w:ind w:firstLine="643" w:firstLineChars="200"/>
        <w:rPr>
          <w:rFonts w:ascii="仿宋_GB2312" w:eastAsia="仿宋_GB2312"/>
          <w:color w:val="auto"/>
        </w:rPr>
      </w:pPr>
      <w:bookmarkStart w:id="13" w:name="_Toc135212458"/>
      <w:r>
        <w:rPr>
          <w:rFonts w:hint="eastAsia" w:ascii="仿宋_GB2312" w:eastAsia="仿宋_GB2312"/>
          <w:color w:val="auto"/>
        </w:rPr>
        <w:t>（一）产出完成情况分析</w:t>
      </w:r>
      <w:bookmarkEnd w:id="13"/>
    </w:p>
    <w:p>
      <w:pPr>
        <w:spacing w:line="360" w:lineRule="auto"/>
        <w:ind w:firstLine="643"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1.</w:t>
      </w:r>
      <w:r>
        <w:rPr>
          <w:rFonts w:hint="eastAsia"/>
        </w:rPr>
        <w:t xml:space="preserve"> </w:t>
      </w:r>
      <w:r>
        <w:rPr>
          <w:rFonts w:hint="eastAsia" w:ascii="仿宋_GB2312" w:hAnsi="仿宋_GB2312" w:eastAsia="仿宋_GB2312" w:cs="仿宋_GB2312"/>
          <w:color w:val="000000"/>
          <w:kern w:val="0"/>
          <w:sz w:val="32"/>
          <w:szCs w:val="32"/>
        </w:rPr>
        <w:t>定点帮扶：2025年正值“台盟帮扶赫章20周年”，台盟北京市委创新构建“多地域帮扶统筹共进”模式，推动帮扶工作与服务首都发展深度融合。</w:t>
      </w:r>
      <w:r>
        <w:rPr>
          <w:rFonts w:hint="eastAsia" w:ascii="仿宋_GB2312" w:hAnsi="仿宋_GB2312" w:eastAsia="仿宋_GB2312" w:cs="仿宋_GB2312"/>
          <w:color w:val="000000"/>
          <w:kern w:val="0"/>
          <w:sz w:val="32"/>
          <w:szCs w:val="32"/>
          <w:lang w:eastAsia="zh-CN"/>
        </w:rPr>
        <w:t>台盟北京市委</w:t>
      </w:r>
      <w:r>
        <w:rPr>
          <w:rFonts w:hint="eastAsia" w:ascii="仿宋_GB2312" w:hAnsi="仿宋_GB2312" w:eastAsia="仿宋_GB2312" w:cs="仿宋_GB2312"/>
          <w:color w:val="000000"/>
          <w:kern w:val="0"/>
          <w:sz w:val="32"/>
          <w:szCs w:val="32"/>
        </w:rPr>
        <w:t>主委带队参加帮扶20周年纪念活动期间，将“8+1”行动中的特色课程引入赫章；推动“同一蓝天下 共上一堂课”平台首次实现京黔两地四校优质课程资源云端共享。此外，积极参与台盟中央“筑梦大讲堂”“两岸同心”等项目，联动中国政法大学专家“送教上门”，捐赠课桌椅150套。帮扶赫章二十年来，台盟北京市委累计投入资金160余万元，开展培训18批次、覆盖1100余人次，多次组织医疗专家赴赫章义诊惠及群众近1500人。以绵绵用力、久久为功，生动诠释了中国特色社会主义参政党在坚守合作初心、促进共同富裕中的深厚情怀与独特作用。</w:t>
      </w:r>
    </w:p>
    <w:p>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联络交流：将“识北京 走山村”项目深度融入北京市“8+1”行动与“助力平谷农业中关村建设”等重点帮扶工作，为台商和盟员参与首都建设搭建平台。推荐门头沟、平谷山区基层干部参加台盟中央“筑梦乡村”培训，为北京偏远地区发展注入智力与资源支持。“助梦启航”品牌全面实现跨区联动升级，在门头沟、平谷两区同步开展“六一”慰问、奖学金奖教金评选、送教送文化等活动，台盟北京市委社会服务的覆盖面、精准度和影响力进一步提升。盟员积极履职、主动作为，成功联引科技公司助力门头沟区斋堂镇杨家村实现太空玉米规模化种植，带动村集体经营性收入突破8万元。台盟北京市委社会服务工作委员会获得2025年“北京市三八红旗集体”荣誉称号。</w:t>
      </w:r>
    </w:p>
    <w:p>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组织活动：高质量举办第十八届“交流与共享”研讨会，两岸各界160余位嘉宾以“纪念台湾光复80周年”为主题深入交流，参会规模、研讨深度、合作广度、传播力度均创历史新高。</w:t>
      </w:r>
      <w:bookmarkStart w:id="14" w:name="OLE_LINK1"/>
      <w:r>
        <w:rPr>
          <w:rFonts w:hint="eastAsia" w:ascii="仿宋_GB2312" w:hAnsi="仿宋_GB2312" w:eastAsia="仿宋_GB2312" w:cs="仿宋_GB2312"/>
          <w:color w:val="000000"/>
          <w:kern w:val="0"/>
          <w:sz w:val="32"/>
          <w:szCs w:val="32"/>
        </w:rPr>
        <w:t>恢复开展“手足原乡行”活动，邀请岛内少数民族同胞赴北京、重庆参访交流，在行走中见证发展、在对话中增进认同。全年举办四次青年读书会，通过座谈交流、文化体验、主题观影、冰雪运动等多元形式，吸引大批台湾青年踊跃参与。2025年，共接待台湾同胞14批次，237人</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较去年增加64%，其中台湾青年162人，较去年增加86%</w:t>
      </w:r>
      <w:bookmarkEnd w:id="14"/>
      <w:r>
        <w:rPr>
          <w:rFonts w:hint="eastAsia" w:ascii="仿宋_GB2312" w:hAnsi="仿宋_GB2312" w:eastAsia="仿宋_GB2312" w:cs="仿宋_GB2312"/>
          <w:color w:val="000000"/>
          <w:kern w:val="0"/>
          <w:sz w:val="32"/>
          <w:szCs w:val="32"/>
        </w:rPr>
        <w:t>。密切与在京常住台胞的交流与合作，常态化走访在京台企和台生就读高校，召开台青座谈会，深入了解台胞需求，并积极帮助协调解决，助力台胞更好融入首都发展。</w:t>
      </w:r>
    </w:p>
    <w:p>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调研活动：</w:t>
      </w:r>
      <w:r>
        <w:rPr>
          <w:rFonts w:hint="eastAsia" w:ascii="仿宋_GB2312" w:hAnsi="仿宋_GB2312" w:eastAsia="仿宋_GB2312" w:cs="仿宋_GB2312"/>
          <w:color w:val="000000"/>
          <w:kern w:val="0"/>
          <w:sz w:val="32"/>
          <w:szCs w:val="32"/>
          <w:lang w:eastAsia="zh-TW"/>
        </w:rPr>
        <w:t>全年共开展年度重点课题调研19项</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TW"/>
        </w:rPr>
        <w:t>其中，</w:t>
      </w:r>
      <w:r>
        <w:rPr>
          <w:rFonts w:hint="eastAsia" w:ascii="仿宋_GB2312" w:hAnsi="仿宋_GB2312" w:eastAsia="仿宋_GB2312" w:cs="仿宋_GB2312"/>
          <w:color w:val="000000"/>
          <w:kern w:val="0"/>
          <w:sz w:val="32"/>
          <w:szCs w:val="32"/>
        </w:rPr>
        <w:t>成果转化</w:t>
      </w:r>
      <w:r>
        <w:rPr>
          <w:rFonts w:hint="eastAsia" w:ascii="仿宋_GB2312" w:hAnsi="仿宋_GB2312" w:eastAsia="仿宋_GB2312" w:cs="仿宋_GB2312"/>
          <w:color w:val="000000"/>
          <w:kern w:val="0"/>
          <w:sz w:val="32"/>
          <w:szCs w:val="32"/>
          <w:lang w:eastAsia="zh-TW"/>
        </w:rPr>
        <w:t>形成全国政协协商发言和专题约稿</w:t>
      </w:r>
      <w:r>
        <w:rPr>
          <w:rFonts w:hint="eastAsia" w:ascii="仿宋_GB2312" w:hAnsi="仿宋_GB2312" w:eastAsia="仿宋_GB2312" w:cs="仿宋_GB2312"/>
          <w:color w:val="000000"/>
          <w:kern w:val="0"/>
          <w:sz w:val="32"/>
          <w:szCs w:val="32"/>
        </w:rPr>
        <w:t>11</w:t>
      </w:r>
      <w:r>
        <w:rPr>
          <w:rFonts w:hint="eastAsia" w:ascii="仿宋_GB2312" w:hAnsi="仿宋_GB2312" w:eastAsia="仿宋_GB2312" w:cs="仿宋_GB2312"/>
          <w:color w:val="000000"/>
          <w:kern w:val="0"/>
          <w:sz w:val="32"/>
          <w:szCs w:val="32"/>
          <w:lang w:eastAsia="zh-TW"/>
        </w:rPr>
        <w:t>篇</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eastAsia="zh-TW"/>
        </w:rPr>
        <w:t>牵头台盟中央制定</w:t>
      </w:r>
      <w:r>
        <w:rPr>
          <w:rFonts w:hint="eastAsia" w:ascii="仿宋_GB2312" w:hAnsi="仿宋_GB2312" w:eastAsia="仿宋_GB2312" w:cs="仿宋_GB2312"/>
          <w:color w:val="000000"/>
          <w:kern w:val="0"/>
          <w:sz w:val="32"/>
          <w:szCs w:val="32"/>
          <w:highlight w:val="none"/>
          <w:lang w:eastAsia="zh-CN"/>
        </w:rPr>
        <w:t>“十五五”规划</w:t>
      </w:r>
      <w:r>
        <w:rPr>
          <w:rFonts w:hint="eastAsia" w:ascii="仿宋_GB2312" w:hAnsi="仿宋_GB2312" w:eastAsia="仿宋_GB2312" w:cs="仿宋_GB2312"/>
          <w:color w:val="000000"/>
          <w:kern w:val="0"/>
          <w:sz w:val="32"/>
          <w:szCs w:val="32"/>
          <w:lang w:eastAsia="zh-TW"/>
        </w:rPr>
        <w:t>重点调研课题。调研工作机制进一步完善。深化“一盘棋”“一股绳”工作机制，区级组织、专委会、盟外专家智库在课题谋划、开展调研、成果转化等过程中发挥重要作用。以干代训加强青年盟员培养，</w:t>
      </w:r>
      <w:r>
        <w:rPr>
          <w:rFonts w:hint="eastAsia" w:ascii="仿宋_GB2312" w:hAnsi="仿宋_GB2312" w:eastAsia="仿宋_GB2312" w:cs="仿宋_GB2312"/>
          <w:color w:val="000000"/>
          <w:kern w:val="0"/>
          <w:sz w:val="32"/>
          <w:szCs w:val="32"/>
        </w:rPr>
        <w:t>7</w:t>
      </w:r>
      <w:r>
        <w:rPr>
          <w:rFonts w:hint="eastAsia" w:ascii="仿宋_GB2312" w:hAnsi="仿宋_GB2312" w:eastAsia="仿宋_GB2312" w:cs="仿宋_GB2312"/>
          <w:color w:val="000000"/>
          <w:kern w:val="0"/>
          <w:sz w:val="32"/>
          <w:szCs w:val="32"/>
          <w:lang w:eastAsia="zh-TW"/>
        </w:rPr>
        <w:t>名青年骨干参与课题牵头工作。全年围绕立项课题组织参与调研199人次。</w:t>
      </w:r>
    </w:p>
    <w:p>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盟务活动：开展寻找失联盟员工作，38位失去联系盟员中，30位恢复了联系，8位明确了处理意见。全年发展新盟员5人，</w:t>
      </w:r>
      <w:r>
        <w:rPr>
          <w:rFonts w:hint="eastAsia" w:ascii="仿宋_GB2312" w:hAnsi="仿宋_GB2312" w:eastAsia="仿宋_GB2312" w:cs="仿宋_GB2312"/>
          <w:color w:val="000000"/>
          <w:kern w:val="0"/>
          <w:sz w:val="32"/>
          <w:szCs w:val="32"/>
          <w:lang w:eastAsia="zh-CN"/>
        </w:rPr>
        <w:t>从其他</w:t>
      </w:r>
      <w:r>
        <w:rPr>
          <w:rFonts w:hint="eastAsia" w:ascii="仿宋_GB2312" w:hAnsi="仿宋_GB2312" w:eastAsia="仿宋_GB2312" w:cs="仿宋_GB2312"/>
          <w:color w:val="000000"/>
          <w:kern w:val="0"/>
          <w:sz w:val="32"/>
          <w:szCs w:val="32"/>
        </w:rPr>
        <w:t>省市转入2人，目前全市共有盟员383人。积极搭建履职平台，推荐7名优秀盟员担任市政府特邀建议人、北京中国和平统一促进会理事等重要社会职务。用心用情做好老盟员工作，全年走访慰问80余人次。向8位老盟员、老台胞送颁中国人民抗日战争胜利80周年纪念章，向盟龄满30周年的盟员颁发“光荣在盟30年”纪念章，爱国爱乡、同心奋进的光荣传统代代相传。成功举办第十七届“同心杯”活动，进一步增强了组织的向心力、凝聚力、感召力</w:t>
      </w:r>
    </w:p>
    <w:p>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rPr>
        <w:t>宣传教育：深耕内宣平台，筑牢舆论主阵地。全年编辑出版6期约30万字《北京台盟》盟刊；精心运营北京台盟微信公众号，全年推送信息600余篇次，多篇文章入选全盟微信公众号十大热文。完成盟史陈列室二期工程，将其打造为北京台盟组织铭记奋斗历程、展现多党合作实践成果的又一重要窗口。加强对外联动，拓展传播辐射面，全年累计刊发稿件100余篇次。参加“同心庆新春 文化拜大年”等统战系统新春联谊活动；策划制作《我们的中国节</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盟动新春</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北京篇》等主题微视频；首次在盟员单位挂牌“盟员之家”，为基层组织履职搭建平台。</w:t>
      </w:r>
    </w:p>
    <w:p>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7.</w:t>
      </w:r>
      <w:r>
        <w:rPr>
          <w:rFonts w:hint="eastAsia" w:ascii="仿宋_GB2312" w:hAnsi="仿宋_GB2312" w:eastAsia="仿宋_GB2312" w:cs="仿宋_GB2312"/>
          <w:color w:val="000000"/>
          <w:kern w:val="0"/>
          <w:sz w:val="32"/>
          <w:szCs w:val="32"/>
        </w:rPr>
        <w:t>绩效评价：20</w:t>
      </w:r>
      <w:r>
        <w:rPr>
          <w:rFonts w:hint="eastAsia" w:ascii="仿宋_GB2312" w:hAnsi="仿宋_GB2312" w:eastAsia="仿宋_GB2312" w:cs="仿宋_GB2312"/>
          <w:color w:val="000000"/>
          <w:kern w:val="0"/>
          <w:sz w:val="32"/>
          <w:szCs w:val="32"/>
          <w:lang w:val="en-US" w:eastAsia="zh-CN"/>
        </w:rPr>
        <w:t>25</w:t>
      </w:r>
      <w:r>
        <w:rPr>
          <w:rFonts w:hint="eastAsia" w:ascii="仿宋_GB2312" w:hAnsi="仿宋_GB2312" w:eastAsia="仿宋_GB2312" w:cs="仿宋_GB2312"/>
          <w:color w:val="000000"/>
          <w:kern w:val="0"/>
          <w:sz w:val="32"/>
          <w:szCs w:val="32"/>
        </w:rPr>
        <w:t>年开展评价项目9个，占部门财政预算项目总数的100.00%，涉及金额196</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040654万元，其中，绩效评价项目1个，涉及金额</w:t>
      </w:r>
      <w:r>
        <w:rPr>
          <w:rFonts w:hint="eastAsia" w:ascii="仿宋_GB2312" w:hAnsi="仿宋_GB2312" w:eastAsia="仿宋_GB2312" w:cs="仿宋_GB2312"/>
          <w:color w:val="000000"/>
          <w:kern w:val="0"/>
          <w:sz w:val="32"/>
          <w:szCs w:val="32"/>
          <w:highlight w:val="none"/>
        </w:rPr>
        <w:t>39</w:t>
      </w:r>
      <w:r>
        <w:rPr>
          <w:rFonts w:hint="eastAsia" w:ascii="仿宋_GB2312" w:hAnsi="仿宋_GB2312" w:eastAsia="仿宋_GB2312" w:cs="仿宋_GB2312"/>
          <w:color w:val="000000"/>
          <w:kern w:val="0"/>
          <w:sz w:val="32"/>
          <w:szCs w:val="32"/>
          <w:highlight w:val="none"/>
          <w:lang w:val="en-US" w:eastAsia="zh-CN"/>
        </w:rPr>
        <w:t>.</w:t>
      </w:r>
      <w:r>
        <w:rPr>
          <w:rFonts w:hint="eastAsia" w:ascii="仿宋_GB2312" w:hAnsi="仿宋_GB2312" w:eastAsia="仿宋_GB2312" w:cs="仿宋_GB2312"/>
          <w:color w:val="000000"/>
          <w:kern w:val="0"/>
          <w:sz w:val="32"/>
          <w:szCs w:val="32"/>
          <w:highlight w:val="none"/>
        </w:rPr>
        <w:t>332928</w:t>
      </w:r>
      <w:r>
        <w:rPr>
          <w:rFonts w:hint="eastAsia" w:ascii="仿宋_GB2312" w:hAnsi="仿宋_GB2312" w:eastAsia="仿宋_GB2312" w:cs="仿宋_GB2312"/>
          <w:color w:val="000000"/>
          <w:kern w:val="0"/>
          <w:sz w:val="32"/>
          <w:szCs w:val="32"/>
        </w:rPr>
        <w:t>万元；单位自评项目8个，涉及金额156</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707726万元。</w:t>
      </w:r>
    </w:p>
    <w:p>
      <w:pPr>
        <w:pStyle w:val="3"/>
        <w:spacing w:before="0" w:after="0" w:line="240" w:lineRule="auto"/>
        <w:ind w:firstLine="643" w:firstLineChars="200"/>
        <w:rPr>
          <w:rFonts w:ascii="仿宋_GB2312" w:eastAsia="仿宋_GB2312"/>
          <w:color w:val="auto"/>
        </w:rPr>
      </w:pPr>
      <w:bookmarkStart w:id="15" w:name="_Toc135212459"/>
      <w:r>
        <w:rPr>
          <w:rFonts w:hint="eastAsia" w:ascii="仿宋_GB2312" w:eastAsia="仿宋_GB2312"/>
          <w:color w:val="auto"/>
        </w:rPr>
        <w:t>（二）效果实现情况分析</w:t>
      </w:r>
      <w:bookmarkEnd w:id="15"/>
    </w:p>
    <w:p>
      <w:pPr>
        <w:spacing w:line="360" w:lineRule="auto"/>
        <w:ind w:firstLine="640" w:firstLineChars="200"/>
        <w:rPr>
          <w:rFonts w:hint="eastAsia" w:ascii="仿宋_GB2312" w:hAnsi="仿宋_GB2312" w:eastAsia="仿宋_GB2312" w:cs="仿宋_GB2312"/>
          <w:b w:val="0"/>
          <w:bCs w:val="0"/>
          <w:color w:val="000000"/>
          <w:kern w:val="0"/>
          <w:sz w:val="32"/>
          <w:szCs w:val="32"/>
          <w:lang w:val="zh-TW"/>
        </w:rPr>
      </w:pPr>
      <w:r>
        <w:rPr>
          <w:rFonts w:hint="eastAsia" w:ascii="仿宋_GB2312" w:hAnsi="仿宋_GB2312" w:eastAsia="仿宋_GB2312" w:cs="仿宋_GB2312"/>
          <w:b w:val="0"/>
          <w:bCs w:val="0"/>
          <w:color w:val="000000"/>
          <w:kern w:val="0"/>
          <w:sz w:val="32"/>
          <w:szCs w:val="32"/>
          <w:lang w:val="en-US" w:eastAsia="zh-CN"/>
        </w:rPr>
        <w:t>1.在历史回望中汲取奋进之力</w:t>
      </w:r>
      <w:r>
        <w:rPr>
          <w:rFonts w:hint="eastAsia" w:ascii="仿宋_GB2312" w:hAnsi="仿宋_GB2312" w:eastAsia="仿宋_GB2312" w:cs="仿宋_GB2312"/>
          <w:b w:val="0"/>
          <w:bCs w:val="0"/>
          <w:color w:val="000000"/>
          <w:kern w:val="0"/>
          <w:sz w:val="32"/>
          <w:szCs w:val="32"/>
          <w:lang w:val="zh-TW"/>
        </w:rPr>
        <w:t>。以“五个一”特色活动为抓手，开展“忆卢沟抗战史、话台湾光复日”系列活动，回望烽火岁月，铭记先辈抗争，共赴统一征程。承办台盟中央在抗战馆举办的“台盟爱国主义教育基地”揭牌活动，</w:t>
      </w:r>
      <w:r>
        <w:rPr>
          <w:rFonts w:hint="eastAsia" w:ascii="仿宋_GB2312" w:hAnsi="仿宋_GB2312" w:eastAsia="仿宋_GB2312" w:cs="仿宋_GB2312"/>
          <w:b w:val="0"/>
          <w:bCs w:val="0"/>
          <w:color w:val="000000"/>
          <w:kern w:val="0"/>
          <w:sz w:val="32"/>
          <w:szCs w:val="32"/>
          <w:lang w:val="zh-TW" w:eastAsia="zh-CN"/>
        </w:rPr>
        <w:t>台盟中央</w:t>
      </w:r>
      <w:r>
        <w:rPr>
          <w:rFonts w:hint="eastAsia" w:ascii="仿宋_GB2312" w:hAnsi="仿宋_GB2312" w:eastAsia="仿宋_GB2312" w:cs="仿宋_GB2312"/>
          <w:b w:val="0"/>
          <w:bCs w:val="0"/>
          <w:color w:val="000000"/>
          <w:kern w:val="0"/>
          <w:sz w:val="32"/>
          <w:szCs w:val="32"/>
          <w:lang w:val="zh-TW"/>
        </w:rPr>
        <w:t>主席亲自为基地揭牌；召开以“共话民族魂、共同盼统一”为主题的北京台盟组织成立76周年座谈会；策划以二十九军抗战和台湾光复为主题的专题展览；开展“踏寻台盟先辈抗战足迹”活动等。特别是，80位盟员和盟务工作者观礼 9月3日在天安门广场举行的盛大阅兵和参加10月25日在人民大会堂举行的纪念“台湾光复80周年”大会，激荡出维护国家领土完整，实现祖国统一的强烈光荣感、使命感、责任感。</w:t>
      </w:r>
    </w:p>
    <w:p>
      <w:pPr>
        <w:spacing w:line="360" w:lineRule="auto"/>
        <w:ind w:firstLine="640" w:firstLineChars="200"/>
        <w:rPr>
          <w:rFonts w:hint="eastAsia" w:ascii="仿宋_GB2312" w:hAnsi="仿宋_GB2312" w:eastAsia="仿宋_GB2312" w:cs="仿宋_GB2312"/>
          <w:b w:val="0"/>
          <w:bCs w:val="0"/>
          <w:color w:val="000000"/>
          <w:kern w:val="0"/>
          <w:sz w:val="32"/>
          <w:szCs w:val="32"/>
          <w:lang w:val="zh-TW"/>
        </w:rPr>
      </w:pPr>
      <w:r>
        <w:rPr>
          <w:rFonts w:hint="eastAsia" w:ascii="仿宋_GB2312" w:hAnsi="仿宋_GB2312" w:eastAsia="仿宋_GB2312" w:cs="仿宋_GB2312"/>
          <w:b w:val="0"/>
          <w:bCs w:val="0"/>
          <w:color w:val="000000"/>
          <w:kern w:val="0"/>
          <w:sz w:val="32"/>
          <w:szCs w:val="32"/>
          <w:lang w:val="zh-TW" w:eastAsia="zh-CN"/>
        </w:rPr>
        <w:t>台盟北京市委</w:t>
      </w:r>
      <w:r>
        <w:rPr>
          <w:rFonts w:hint="eastAsia" w:ascii="仿宋_GB2312" w:hAnsi="仿宋_GB2312" w:eastAsia="仿宋_GB2312" w:cs="仿宋_GB2312"/>
          <w:b w:val="0"/>
          <w:bCs w:val="0"/>
          <w:color w:val="000000"/>
          <w:kern w:val="0"/>
          <w:sz w:val="32"/>
          <w:szCs w:val="32"/>
          <w:lang w:val="zh-TW"/>
        </w:rPr>
        <w:t>主委等班子成员在《人民政协报》《团结报》等主流媒体发表署名文章十余篇。盟员与盟务工作者，踊跃撰写观礼及活动感想百余篇，分期刊载于微信公众号 “台湾光复不能忘”专栏，表达接过先辈手中火炬，矢志不渝推进祖国完全统一的决心。</w:t>
      </w:r>
    </w:p>
    <w:p>
      <w:pPr>
        <w:spacing w:line="360" w:lineRule="auto"/>
        <w:ind w:firstLine="640" w:firstLineChars="2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2.理论武装中筑牢同心之魂</w:t>
      </w:r>
      <w:r>
        <w:rPr>
          <w:rFonts w:hint="eastAsia" w:ascii="仿宋_GB2312" w:hAnsi="仿宋_GB2312" w:eastAsia="仿宋_GB2312" w:cs="仿宋_GB2312"/>
          <w:b w:val="0"/>
          <w:bCs w:val="0"/>
          <w:color w:val="000000"/>
          <w:kern w:val="0"/>
          <w:sz w:val="32"/>
          <w:szCs w:val="32"/>
        </w:rPr>
        <w:t>。严格落实“第一议题”制度，及时跟进学习习近平总书记最新重要讲话和重要指示批示精神。盟市委领导班子通过理论学习中心组学习、专题读书班、学习研讨会等方式，不断用马克思主义中国化时代化最新成果武装头脑、指导实践。全年召开各类学习、专题座谈会等20余次；依托“北京台盟”微信公众号推出“四中全会精神大家学”等系列学习专栏；联合区级组织举办两场</w:t>
      </w:r>
      <w:bookmarkStart w:id="16" w:name="_Hlk218355381"/>
      <w:r>
        <w:rPr>
          <w:rFonts w:hint="eastAsia" w:ascii="仿宋_GB2312" w:hAnsi="仿宋_GB2312" w:eastAsia="仿宋_GB2312" w:cs="仿宋_GB2312"/>
          <w:b w:val="0"/>
          <w:bCs w:val="0"/>
          <w:color w:val="000000"/>
          <w:kern w:val="0"/>
          <w:sz w:val="32"/>
          <w:szCs w:val="32"/>
        </w:rPr>
        <w:t>“忆盟史 守初心”</w:t>
      </w:r>
      <w:bookmarkEnd w:id="16"/>
      <w:r>
        <w:rPr>
          <w:rFonts w:hint="eastAsia" w:ascii="仿宋_GB2312" w:hAnsi="仿宋_GB2312" w:eastAsia="仿宋_GB2312" w:cs="仿宋_GB2312"/>
          <w:b w:val="0"/>
          <w:bCs w:val="0"/>
          <w:color w:val="000000"/>
          <w:kern w:val="0"/>
          <w:sz w:val="32"/>
          <w:szCs w:val="32"/>
        </w:rPr>
        <w:t>读书学习活动，引领盟员、盟务工作者把牢政治方向，统一思想认识，切实把学习成果转化为推动工作的思路举措和实际行动。</w:t>
      </w:r>
    </w:p>
    <w:p>
      <w:pPr>
        <w:spacing w:line="360" w:lineRule="auto"/>
        <w:ind w:firstLine="640" w:firstLineChars="200"/>
        <w:outlineLvl w:val="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3.宣传阵地上嘹亮台盟之声</w:t>
      </w:r>
      <w:r>
        <w:rPr>
          <w:rFonts w:hint="eastAsia" w:ascii="仿宋_GB2312" w:hAnsi="仿宋_GB2312" w:eastAsia="仿宋_GB2312" w:cs="仿宋_GB2312"/>
          <w:b w:val="0"/>
          <w:bCs w:val="0"/>
          <w:color w:val="000000"/>
          <w:kern w:val="0"/>
          <w:sz w:val="32"/>
          <w:szCs w:val="32"/>
        </w:rPr>
        <w:t>。</w:t>
      </w:r>
      <w:bookmarkStart w:id="17" w:name="_Toc135212460"/>
      <w:r>
        <w:rPr>
          <w:rFonts w:hint="eastAsia" w:ascii="仿宋_GB2312" w:hAnsi="仿宋_GB2312" w:eastAsia="仿宋_GB2312" w:cs="仿宋_GB2312"/>
          <w:b w:val="0"/>
          <w:bCs w:val="0"/>
          <w:color w:val="000000"/>
          <w:kern w:val="0"/>
          <w:sz w:val="32"/>
          <w:szCs w:val="32"/>
        </w:rPr>
        <w:t>深耕内宣平台，筑牢舆论主阵地。全年编辑出版6期约30万字《北京台盟》盟刊；精心运营北京台盟微信公众号，全年推送信息600余篇次，多篇文章入选全盟微信公众号十大热文。完成盟史陈列室二期工程，将其打造为北京台盟组织铭记奋斗历程、展现多党合作实践成果的又一重要窗口。加强对外联动，拓展传播辐射面，全年累计刊发稿件100余篇次。参加“同心庆新春 文化拜大年”等统战系统新春联谊活动；策划制作《我们的中国节</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盟动新春</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北京篇》等主题微视频；首次在盟员单位挂牌“盟员之家”，为基层组织履职搭建平台。</w:t>
      </w:r>
    </w:p>
    <w:p>
      <w:pPr>
        <w:spacing w:line="360" w:lineRule="auto"/>
        <w:ind w:firstLine="640" w:firstLineChars="200"/>
        <w:outlineLvl w:val="0"/>
        <w:rPr>
          <w:rFonts w:ascii="黑体" w:hAnsi="黑体" w:eastAsia="黑体" w:cs="仿宋_GB2312"/>
          <w:color w:val="000000"/>
          <w:kern w:val="0"/>
          <w:sz w:val="32"/>
          <w:szCs w:val="32"/>
        </w:rPr>
      </w:pPr>
      <w:r>
        <w:rPr>
          <w:rFonts w:hint="eastAsia" w:ascii="黑体" w:hAnsi="黑体" w:eastAsia="黑体" w:cs="仿宋_GB2312"/>
          <w:color w:val="000000"/>
          <w:kern w:val="0"/>
          <w:sz w:val="32"/>
          <w:szCs w:val="32"/>
        </w:rPr>
        <w:t>四、预算管理情况分析</w:t>
      </w:r>
      <w:bookmarkEnd w:id="17"/>
    </w:p>
    <w:p>
      <w:pPr>
        <w:pStyle w:val="3"/>
        <w:spacing w:before="0" w:after="0" w:line="240" w:lineRule="auto"/>
        <w:ind w:firstLine="643" w:firstLineChars="200"/>
        <w:rPr>
          <w:rFonts w:ascii="仿宋_GB2312" w:eastAsia="仿宋_GB2312"/>
        </w:rPr>
      </w:pPr>
      <w:bookmarkStart w:id="18" w:name="_Toc135212461"/>
      <w:r>
        <w:rPr>
          <w:rFonts w:hint="eastAsia" w:ascii="仿宋_GB2312" w:eastAsia="仿宋_GB2312"/>
        </w:rPr>
        <w:t>（一）财务管理</w:t>
      </w:r>
      <w:bookmarkEnd w:id="18"/>
    </w:p>
    <w:p>
      <w:pPr>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1.财务管理制度健全性</w:t>
      </w:r>
    </w:p>
    <w:p>
      <w:pPr>
        <w:spacing w:line="360" w:lineRule="auto"/>
        <w:ind w:firstLine="640" w:firstLineChars="200"/>
        <w:rPr>
          <w:rFonts w:ascii="仿宋_GB2312" w:hAnsi="仿宋_GB2312" w:eastAsia="仿宋_GB2312" w:cs="仿宋_GB2312"/>
          <w:color w:val="000000"/>
          <w:kern w:val="0"/>
          <w:sz w:val="32"/>
          <w:szCs w:val="32"/>
          <w:highlight w:val="yellow"/>
        </w:rPr>
      </w:pPr>
      <w:r>
        <w:rPr>
          <w:rFonts w:hint="eastAsia" w:ascii="仿宋_GB2312" w:hAnsi="仿宋_GB2312" w:eastAsia="仿宋_GB2312" w:cs="仿宋_GB2312"/>
          <w:color w:val="000000"/>
          <w:kern w:val="0"/>
          <w:sz w:val="32"/>
          <w:szCs w:val="32"/>
        </w:rPr>
        <w:t>台盟北京市委制定了《台湾民主自治同盟北京市委员会内部控制手册》，梳理了比较完善的内控流程和管理制度，明确了预算编制与管理流程的业务范围，确定了财政预算编报范围、财务预算内容、财务预算编制原则及财务预算管理组织机构的任务等工作内容；制定了《台盟北京市委机关财务会计制度》，明确了岗位职责、资产管理及支出管理等工作内容。</w:t>
      </w:r>
    </w:p>
    <w:p>
      <w:pPr>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2.资金使用合规性和安全性</w:t>
      </w:r>
    </w:p>
    <w:p>
      <w:pPr>
        <w:spacing w:line="360" w:lineRule="auto"/>
        <w:ind w:firstLine="640" w:firstLineChars="200"/>
        <w:rPr>
          <w:rFonts w:ascii="仿宋_GB2312" w:hAnsi="仿宋_GB2312" w:eastAsia="仿宋_GB2312" w:cs="仿宋_GB2312"/>
          <w:color w:val="000000"/>
          <w:kern w:val="0"/>
          <w:sz w:val="32"/>
          <w:szCs w:val="32"/>
          <w:highlight w:val="yellow"/>
        </w:rPr>
      </w:pPr>
      <w:r>
        <w:rPr>
          <w:rFonts w:hint="eastAsia" w:ascii="仿宋_GB2312" w:hAnsi="仿宋_GB2312" w:eastAsia="仿宋_GB2312" w:cs="仿宋_GB2312"/>
          <w:color w:val="000000"/>
          <w:kern w:val="0"/>
          <w:sz w:val="32"/>
          <w:szCs w:val="32"/>
        </w:rPr>
        <w:t>台盟北京市委根据《台盟北京市委机关财务会计制度》内容，对资金使用进行了明确要求；拨付均有用款人、处室负责人、单位领导等签字，财务资料归档规范、完整，无截留、挤占、挪用、虚列支出等问题，符合部门预算批复的用途。</w:t>
      </w:r>
    </w:p>
    <w:p>
      <w:pPr>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3.会计基础信息完善性</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了促进台盟北京市委发展，健全内部约束机制，做好台盟北京市委财务核算工作，结合具体情况，不断完善内部控制流程，修订内部控制相关制度，进行财务工作职责划分，明确各方职责，能够保证预算编制、预算执行等相关工作的准确性，保证会计核算的真实性、准确性和完整性，进一步规范会计基础工作，实现会计工作水平的不断提高，保证会计工作规范有序和工作质量的不断提高。通过对预算、执行、决算等相关数据的审核，能够保证会计基础信息的真实、准确和完整。</w:t>
      </w:r>
    </w:p>
    <w:p>
      <w:pPr>
        <w:pStyle w:val="3"/>
        <w:spacing w:before="0" w:after="0" w:line="240" w:lineRule="auto"/>
        <w:ind w:firstLine="643" w:firstLineChars="200"/>
        <w:rPr>
          <w:rFonts w:ascii="仿宋_GB2312" w:eastAsia="仿宋_GB2312"/>
        </w:rPr>
      </w:pPr>
      <w:bookmarkStart w:id="19" w:name="_Toc135212462"/>
      <w:r>
        <w:rPr>
          <w:rFonts w:hint="eastAsia" w:ascii="仿宋_GB2312" w:eastAsia="仿宋_GB2312"/>
        </w:rPr>
        <w:t>（二）资产管理</w:t>
      </w:r>
      <w:bookmarkEnd w:id="19"/>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1.制度建设</w:t>
      </w:r>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为有效贯彻党中央、国务院关于“过紧日子”的要求，有效盘活并高效使用资产，加强固定资产管理，保障固定资产的安全完整，台盟北京市委建立了《台盟北京市委机关财务会计制度》，其中明确了固定资产的管理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2.管理体制</w:t>
      </w:r>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台盟北京市委固定资产管理实行“统一领导、归口管理、分级负责、责任到人”的管理体制。办公室负责固定资产的综合管理和价值管理；各处室按资产的不同形式对相关固定资产进行归口管理，负责本处室使用的各类固定资产的管理。办公室按职责实施分类协调管理，履行其管理职能，做到统一要求、统一管理、资源共享。</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3.资产日常管理</w:t>
      </w:r>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各处室根据本处室发展需要提出采购申请，并按采购名录由处室提交报告，经办公室审批后，到财务处领取支票，财务室通知各归口管理处室依据经费预算情况进行采购。</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固定资产的验收由设备专管员负责，验收合格后，办理固定资产登记、入库手续，建立固定资产卡片。</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4.资产转移、盘点及处置</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因工作需要，对固定资产进行处室内部转移时，由使用者填写设备借用单，需负责人同意后进行转移，经验明设备完好状况后交付使用者。</w:t>
      </w:r>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固定资产的清查采取年终清查的方式，为办公室资产管理人员及各使用处室每年12月对固定资产进行全面清查盘点，确保账账、账卡、账实相符。清查盘点结束后，由办公室资产管理人员编制固定资产清查盘点明细表，对核查中发现的问题应查明原因，及时妥善处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固定资产需要进行报废、报损处置的，由固定资产使用处室填写设备报废单，经主管领导审批后予以报废，相关处室办理</w:t>
      </w:r>
      <w:r>
        <w:rPr>
          <w:rFonts w:hint="eastAsia" w:ascii="仿宋_GB2312" w:hAnsi="仿宋_GB2312" w:eastAsia="仿宋_GB2312" w:cs="仿宋_GB2312"/>
          <w:sz w:val="32"/>
          <w:szCs w:val="32"/>
          <w:lang w:eastAsia="zh-CN"/>
        </w:rPr>
        <w:t>撤销</w:t>
      </w:r>
      <w:r>
        <w:rPr>
          <w:rFonts w:hint="eastAsia" w:ascii="仿宋_GB2312" w:hAnsi="仿宋_GB2312" w:eastAsia="仿宋_GB2312" w:cs="仿宋_GB2312"/>
          <w:sz w:val="32"/>
          <w:szCs w:val="32"/>
        </w:rPr>
        <w:t>设备台账信息及冲减固定资产财务手续。</w:t>
      </w:r>
    </w:p>
    <w:p>
      <w:pPr>
        <w:pStyle w:val="3"/>
        <w:spacing w:before="0" w:after="0" w:line="240" w:lineRule="auto"/>
        <w:ind w:firstLine="643" w:firstLineChars="200"/>
        <w:rPr>
          <w:rFonts w:ascii="仿宋_GB2312" w:eastAsia="仿宋_GB2312"/>
        </w:rPr>
      </w:pPr>
      <w:bookmarkStart w:id="20" w:name="_Toc135212463"/>
      <w:r>
        <w:rPr>
          <w:rFonts w:hint="eastAsia" w:ascii="仿宋_GB2312" w:eastAsia="仿宋_GB2312"/>
        </w:rPr>
        <w:t>（三）绩效管理</w:t>
      </w:r>
      <w:bookmarkEnd w:id="20"/>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年，台盟北京市委通过开展事后评价方式，持续推进预算资金全过程绩效管理。执行项目安排有方案、有绩效、有责任人的要求，严格落实按审核结果安排预算。</w:t>
      </w:r>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按照财政要求对台盟北京市委切实推动财政资金使用开展</w:t>
      </w:r>
      <w:r>
        <w:rPr>
          <w:rFonts w:hint="eastAsia" w:ascii="仿宋_GB2312" w:hAnsi="仿宋_GB2312" w:eastAsia="仿宋_GB2312" w:cs="仿宋_GB2312"/>
          <w:sz w:val="32"/>
          <w:szCs w:val="32"/>
          <w:highlight w:val="none"/>
        </w:rPr>
        <w:t>绩效评价，评价项目</w:t>
      </w:r>
      <w:r>
        <w:rPr>
          <w:rFonts w:ascii="仿宋_GB2312" w:hAnsi="仿宋_GB2312" w:eastAsia="仿宋_GB2312" w:cs="仿宋_GB2312"/>
          <w:sz w:val="32"/>
          <w:szCs w:val="32"/>
          <w:highlight w:val="none"/>
        </w:rPr>
        <w:t>9</w:t>
      </w:r>
      <w:r>
        <w:rPr>
          <w:rFonts w:hint="eastAsia" w:ascii="仿宋_GB2312" w:hAnsi="仿宋_GB2312" w:eastAsia="仿宋_GB2312" w:cs="仿宋_GB2312"/>
          <w:sz w:val="32"/>
          <w:szCs w:val="32"/>
          <w:highlight w:val="none"/>
        </w:rPr>
        <w:t>个，占部门财政预算项目总数的</w:t>
      </w:r>
      <w:r>
        <w:rPr>
          <w:rFonts w:ascii="仿宋_GB2312" w:hAnsi="仿宋_GB2312" w:eastAsia="仿宋_GB2312" w:cs="仿宋_GB2312"/>
          <w:sz w:val="32"/>
          <w:szCs w:val="32"/>
          <w:highlight w:val="none"/>
        </w:rPr>
        <w:t>100.00</w:t>
      </w:r>
      <w:r>
        <w:rPr>
          <w:rFonts w:hint="eastAsia" w:ascii="仿宋_GB2312" w:hAnsi="仿宋_GB2312" w:eastAsia="仿宋_GB2312" w:cs="仿宋_GB2312"/>
          <w:sz w:val="32"/>
          <w:szCs w:val="32"/>
          <w:highlight w:val="none"/>
        </w:rPr>
        <w:t>%，涉及金额</w:t>
      </w:r>
      <w:r>
        <w:rPr>
          <w:rFonts w:hint="eastAsia" w:ascii="仿宋_GB2312" w:hAnsi="仿宋_GB2312" w:eastAsia="仿宋_GB2312" w:cs="仿宋_GB2312"/>
          <w:color w:val="000000"/>
          <w:kern w:val="0"/>
          <w:sz w:val="32"/>
          <w:szCs w:val="32"/>
          <w:highlight w:val="none"/>
        </w:rPr>
        <w:t>196</w:t>
      </w:r>
      <w:r>
        <w:rPr>
          <w:rFonts w:hint="eastAsia" w:ascii="仿宋_GB2312" w:hAnsi="仿宋_GB2312" w:eastAsia="仿宋_GB2312" w:cs="仿宋_GB2312"/>
          <w:color w:val="000000"/>
          <w:kern w:val="0"/>
          <w:sz w:val="32"/>
          <w:szCs w:val="32"/>
          <w:highlight w:val="none"/>
          <w:lang w:val="en-US" w:eastAsia="zh-CN"/>
        </w:rPr>
        <w:t>.</w:t>
      </w:r>
      <w:r>
        <w:rPr>
          <w:rFonts w:hint="eastAsia" w:ascii="仿宋_GB2312" w:hAnsi="仿宋_GB2312" w:eastAsia="仿宋_GB2312" w:cs="仿宋_GB2312"/>
          <w:color w:val="000000"/>
          <w:kern w:val="0"/>
          <w:sz w:val="32"/>
          <w:szCs w:val="32"/>
          <w:highlight w:val="none"/>
        </w:rPr>
        <w:t>040654</w:t>
      </w:r>
      <w:r>
        <w:rPr>
          <w:rFonts w:hint="eastAsia" w:ascii="仿宋_GB2312" w:hAnsi="仿宋_GB2312" w:eastAsia="仿宋_GB2312" w:cs="仿宋_GB2312"/>
          <w:sz w:val="32"/>
          <w:szCs w:val="32"/>
          <w:highlight w:val="none"/>
        </w:rPr>
        <w:t>万元，其中，绩效评价项目1个，涉及金额39</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332928万元；单位自评项目</w:t>
      </w:r>
      <w:r>
        <w:rPr>
          <w:rFonts w:ascii="仿宋_GB2312" w:hAnsi="仿宋_GB2312" w:eastAsia="仿宋_GB2312" w:cs="仿宋_GB2312"/>
          <w:sz w:val="32"/>
          <w:szCs w:val="32"/>
          <w:highlight w:val="none"/>
        </w:rPr>
        <w:t>8</w:t>
      </w:r>
      <w:r>
        <w:rPr>
          <w:rFonts w:hint="eastAsia" w:ascii="仿宋_GB2312" w:hAnsi="仿宋_GB2312" w:eastAsia="仿宋_GB2312" w:cs="仿宋_GB2312"/>
          <w:sz w:val="32"/>
          <w:szCs w:val="32"/>
          <w:highlight w:val="none"/>
        </w:rPr>
        <w:t>个，涉及金额</w:t>
      </w:r>
      <w:r>
        <w:rPr>
          <w:rFonts w:hint="eastAsia" w:ascii="仿宋_GB2312" w:hAnsi="仿宋_GB2312" w:eastAsia="仿宋_GB2312" w:cs="仿宋_GB2312"/>
          <w:color w:val="000000"/>
          <w:kern w:val="0"/>
          <w:sz w:val="32"/>
          <w:szCs w:val="32"/>
          <w:highlight w:val="none"/>
        </w:rPr>
        <w:t>156</w:t>
      </w:r>
      <w:r>
        <w:rPr>
          <w:rFonts w:hint="eastAsia" w:ascii="仿宋_GB2312" w:hAnsi="仿宋_GB2312" w:eastAsia="仿宋_GB2312" w:cs="仿宋_GB2312"/>
          <w:color w:val="000000"/>
          <w:kern w:val="0"/>
          <w:sz w:val="32"/>
          <w:szCs w:val="32"/>
          <w:highlight w:val="none"/>
          <w:lang w:val="en-US" w:eastAsia="zh-CN"/>
        </w:rPr>
        <w:t>.</w:t>
      </w:r>
      <w:r>
        <w:rPr>
          <w:rFonts w:hint="eastAsia" w:ascii="仿宋_GB2312" w:hAnsi="仿宋_GB2312" w:eastAsia="仿宋_GB2312" w:cs="仿宋_GB2312"/>
          <w:color w:val="000000"/>
          <w:kern w:val="0"/>
          <w:sz w:val="32"/>
          <w:szCs w:val="32"/>
          <w:highlight w:val="none"/>
        </w:rPr>
        <w:t>707726</w:t>
      </w:r>
      <w:r>
        <w:rPr>
          <w:rFonts w:hint="eastAsia" w:ascii="仿宋_GB2312" w:hAnsi="仿宋_GB2312" w:eastAsia="仿宋_GB2312" w:cs="仿宋_GB2312"/>
          <w:sz w:val="32"/>
          <w:szCs w:val="32"/>
          <w:highlight w:val="none"/>
        </w:rPr>
        <w:t>万元。</w:t>
      </w:r>
    </w:p>
    <w:p>
      <w:pPr>
        <w:pStyle w:val="3"/>
        <w:spacing w:before="0" w:after="0" w:line="240" w:lineRule="auto"/>
        <w:ind w:firstLine="643" w:firstLineChars="200"/>
        <w:rPr>
          <w:rFonts w:ascii="仿宋_GB2312" w:eastAsia="仿宋_GB2312"/>
        </w:rPr>
      </w:pPr>
      <w:bookmarkStart w:id="21" w:name="_Toc135212464"/>
      <w:bookmarkStart w:id="22" w:name="_Hlk103872530"/>
      <w:r>
        <w:rPr>
          <w:rFonts w:hint="eastAsia" w:ascii="仿宋_GB2312" w:eastAsia="仿宋_GB2312"/>
        </w:rPr>
        <w:t>（四）结转结余率</w:t>
      </w:r>
      <w:bookmarkEnd w:id="21"/>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年度，台盟北京市委结转结余总额为49.167154万元，预算支出总额为1,357.802265万元，结转结余率=49.167154/1,357.802265*100%=3.</w:t>
      </w: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3"/>
        <w:rPr>
          <w:rFonts w:hint="default"/>
          <w:lang w:val="en-US"/>
        </w:rPr>
      </w:pPr>
      <w:r>
        <w:rPr>
          <w:rFonts w:hint="eastAsia" w:ascii="仿宋_GB2312" w:hAnsi="仿宋_GB2312" w:eastAsia="仿宋_GB2312" w:cs="仿宋_GB2312"/>
          <w:sz w:val="32"/>
          <w:szCs w:val="32"/>
          <w:lang w:val="en-US" w:eastAsia="zh-CN"/>
        </w:rPr>
        <w:t xml:space="preserve">   2025年度，</w:t>
      </w:r>
      <w:r>
        <w:rPr>
          <w:rFonts w:hint="eastAsia" w:ascii="仿宋_GB2312" w:hAnsi="仿宋_GB2312" w:eastAsia="仿宋_GB2312" w:cs="仿宋_GB2312"/>
          <w:sz w:val="32"/>
          <w:szCs w:val="32"/>
          <w:highlight w:val="none"/>
        </w:rPr>
        <w:t>台盟北京市委结转结余总额为34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62889万元，预算支出总额为1446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610887万元，结转结余率=34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62889/1446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610887*100%=</w:t>
      </w:r>
      <w:r>
        <w:rPr>
          <w:rFonts w:hint="eastAsia" w:ascii="仿宋_GB2312" w:hAnsi="仿宋_GB2312" w:eastAsia="仿宋_GB2312" w:cs="仿宋_GB2312"/>
          <w:sz w:val="32"/>
          <w:szCs w:val="32"/>
          <w:highlight w:val="none"/>
          <w:lang w:val="en-US" w:eastAsia="zh-CN"/>
        </w:rPr>
        <w:t>2.39</w:t>
      </w:r>
      <w:r>
        <w:rPr>
          <w:rFonts w:hint="eastAsia" w:ascii="仿宋_GB2312" w:hAnsi="仿宋_GB2312" w:eastAsia="仿宋_GB2312" w:cs="仿宋_GB2312"/>
          <w:sz w:val="32"/>
          <w:szCs w:val="32"/>
          <w:highlight w:val="none"/>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通过比较，202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年度结转结余率比202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年度结转结余率</w:t>
      </w:r>
      <w:r>
        <w:rPr>
          <w:rFonts w:hint="eastAsia" w:ascii="仿宋_GB2312" w:hAnsi="仿宋_GB2312" w:eastAsia="仿宋_GB2312" w:cs="仿宋_GB2312"/>
          <w:sz w:val="32"/>
          <w:szCs w:val="32"/>
          <w:lang w:val="en-US" w:eastAsia="zh-CN"/>
        </w:rPr>
        <w:t>低1.23</w:t>
      </w:r>
      <w:r>
        <w:rPr>
          <w:rFonts w:hint="eastAsia" w:ascii="仿宋_GB2312" w:hAnsi="仿宋_GB2312" w:eastAsia="仿宋_GB2312" w:cs="仿宋_GB2312"/>
          <w:sz w:val="32"/>
          <w:szCs w:val="32"/>
          <w:highlight w:val="none"/>
        </w:rPr>
        <w:t>%。</w:t>
      </w:r>
    </w:p>
    <w:p>
      <w:pPr>
        <w:pStyle w:val="3"/>
        <w:spacing w:before="0" w:after="0" w:line="240" w:lineRule="auto"/>
        <w:ind w:firstLine="643" w:firstLineChars="200"/>
        <w:rPr>
          <w:rFonts w:ascii="仿宋_GB2312" w:eastAsia="仿宋_GB2312"/>
          <w:color w:val="auto"/>
        </w:rPr>
      </w:pPr>
      <w:bookmarkStart w:id="23" w:name="_Toc135212465"/>
      <w:r>
        <w:rPr>
          <w:rFonts w:hint="eastAsia" w:ascii="仿宋_GB2312" w:eastAsia="仿宋_GB2312"/>
          <w:color w:val="auto"/>
        </w:rPr>
        <w:t>（五）部门预决算差异率</w:t>
      </w:r>
      <w:bookmarkEnd w:id="23"/>
    </w:p>
    <w:p>
      <w:pPr>
        <w:ind w:firstLine="640" w:firstLineChars="200"/>
        <w:rPr>
          <w:rFonts w:hint="eastAsia" w:ascii="仿宋_GB2312" w:hAnsi="仿宋_GB2312" w:eastAsia="仿宋_GB2312" w:cs="仿宋_GB2312"/>
          <w:strike/>
          <w:sz w:val="32"/>
          <w:szCs w:val="32"/>
          <w:highlight w:val="yellow"/>
          <w:lang w:eastAsia="zh-CN"/>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年，批复预算资金</w:t>
      </w:r>
      <w:bookmarkStart w:id="24" w:name="_Hlk132706286"/>
      <w:bookmarkStart w:id="25" w:name="_Hlk134704982"/>
      <w:r>
        <w:rPr>
          <w:rFonts w:hint="eastAsia" w:ascii="仿宋_GB2312" w:eastAsia="仿宋_GB2312"/>
          <w:sz w:val="32"/>
          <w:szCs w:val="32"/>
          <w:highlight w:val="none"/>
        </w:rPr>
        <w:t>1446</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610887</w:t>
      </w:r>
      <w:bookmarkEnd w:id="24"/>
      <w:bookmarkEnd w:id="25"/>
      <w:r>
        <w:rPr>
          <w:rFonts w:hint="eastAsia" w:ascii="仿宋_GB2312" w:eastAsia="仿宋_GB2312"/>
          <w:sz w:val="32"/>
          <w:szCs w:val="32"/>
          <w:highlight w:val="none"/>
        </w:rPr>
        <w:t>万元，部门决算支出金额为1411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981997万元；部门预决算差异率=（1411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981997-1446</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610887）/1446</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610887=</w:t>
      </w:r>
      <w:r>
        <w:rPr>
          <w:rFonts w:ascii="仿宋_GB2312" w:eastAsia="仿宋_GB2312"/>
          <w:sz w:val="32"/>
          <w:szCs w:val="32"/>
          <w:highlight w:val="none"/>
        </w:rPr>
        <w:t>-</w:t>
      </w:r>
      <w:r>
        <w:rPr>
          <w:rFonts w:hint="eastAsia" w:ascii="仿宋_GB2312" w:eastAsia="仿宋_GB2312"/>
          <w:sz w:val="32"/>
          <w:szCs w:val="32"/>
          <w:highlight w:val="none"/>
          <w:lang w:val="en-US" w:eastAsia="zh-CN"/>
        </w:rPr>
        <w:t>2</w:t>
      </w:r>
      <w:r>
        <w:rPr>
          <w:rFonts w:ascii="仿宋_GB2312" w:eastAsia="仿宋_GB2312"/>
          <w:sz w:val="32"/>
          <w:szCs w:val="32"/>
          <w:highlight w:val="none"/>
        </w:rPr>
        <w:t>.</w:t>
      </w:r>
      <w:r>
        <w:rPr>
          <w:rFonts w:hint="eastAsia" w:ascii="仿宋_GB2312" w:eastAsia="仿宋_GB2312"/>
          <w:sz w:val="32"/>
          <w:szCs w:val="32"/>
          <w:highlight w:val="none"/>
          <w:lang w:val="en-US" w:eastAsia="zh-CN"/>
        </w:rPr>
        <w:t>39</w:t>
      </w:r>
      <w:r>
        <w:rPr>
          <w:rFonts w:hint="eastAsia" w:ascii="仿宋_GB2312" w:eastAsia="仿宋_GB2312"/>
          <w:sz w:val="32"/>
          <w:szCs w:val="32"/>
          <w:highlight w:val="none"/>
        </w:rPr>
        <w:t>%</w:t>
      </w:r>
      <w:bookmarkEnd w:id="22"/>
      <w:r>
        <w:rPr>
          <w:rFonts w:hint="eastAsia" w:ascii="仿宋_GB2312" w:eastAsia="仿宋_GB2312"/>
          <w:sz w:val="32"/>
          <w:szCs w:val="32"/>
          <w:highlight w:val="none"/>
          <w:lang w:eastAsia="zh-CN"/>
        </w:rPr>
        <w:t>。</w:t>
      </w:r>
    </w:p>
    <w:p>
      <w:pPr>
        <w:spacing w:line="360" w:lineRule="auto"/>
        <w:ind w:firstLine="640" w:firstLineChars="200"/>
        <w:outlineLvl w:val="0"/>
        <w:rPr>
          <w:rFonts w:ascii="黑体" w:hAnsi="黑体" w:eastAsia="黑体" w:cs="仿宋_GB2312"/>
          <w:sz w:val="32"/>
          <w:szCs w:val="32"/>
        </w:rPr>
      </w:pPr>
      <w:bookmarkStart w:id="26" w:name="_Toc135212466"/>
      <w:r>
        <w:rPr>
          <w:rFonts w:hint="eastAsia" w:ascii="黑体" w:hAnsi="黑体" w:eastAsia="黑体" w:cs="仿宋_GB2312"/>
          <w:sz w:val="32"/>
          <w:szCs w:val="32"/>
        </w:rPr>
        <w:t>五、总体评价结论</w:t>
      </w:r>
      <w:bookmarkEnd w:id="26"/>
      <w:bookmarkStart w:id="32" w:name="_GoBack"/>
      <w:bookmarkEnd w:id="32"/>
    </w:p>
    <w:p>
      <w:pPr>
        <w:pStyle w:val="3"/>
        <w:spacing w:before="0" w:after="0" w:line="240" w:lineRule="auto"/>
        <w:ind w:firstLine="643" w:firstLineChars="200"/>
        <w:rPr>
          <w:rFonts w:ascii="仿宋_GB2312" w:eastAsia="仿宋_GB2312"/>
          <w:color w:val="auto"/>
          <w:highlight w:val="none"/>
        </w:rPr>
      </w:pPr>
      <w:bookmarkStart w:id="27" w:name="_Toc135212467"/>
      <w:r>
        <w:rPr>
          <w:rFonts w:hint="eastAsia" w:ascii="仿宋_GB2312" w:eastAsia="仿宋_GB2312"/>
          <w:color w:val="auto"/>
          <w:highlight w:val="none"/>
        </w:rPr>
        <w:t>（一）评价得分情况</w:t>
      </w:r>
      <w:bookmarkEnd w:id="27"/>
    </w:p>
    <w:p>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台盟北京市委202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年度部门整体绩效评价得分为</w:t>
      </w:r>
      <w:r>
        <w:rPr>
          <w:rFonts w:ascii="仿宋_GB2312" w:hAnsi="仿宋_GB2312" w:eastAsia="仿宋_GB2312" w:cs="仿宋_GB2312"/>
          <w:color w:val="auto"/>
          <w:sz w:val="32"/>
          <w:szCs w:val="32"/>
          <w:highlight w:val="none"/>
        </w:rPr>
        <w:t>9</w:t>
      </w:r>
      <w:r>
        <w:rPr>
          <w:rFonts w:hint="eastAsia" w:ascii="仿宋_GB2312" w:hAnsi="仿宋_GB2312" w:eastAsia="仿宋_GB2312" w:cs="仿宋_GB2312"/>
          <w:color w:val="auto"/>
          <w:sz w:val="32"/>
          <w:szCs w:val="32"/>
          <w:highlight w:val="none"/>
          <w:lang w:val="en-US" w:eastAsia="zh-CN"/>
        </w:rPr>
        <w:t>4.5</w:t>
      </w:r>
      <w:r>
        <w:rPr>
          <w:rFonts w:ascii="仿宋_GB2312" w:hAnsi="仿宋_GB2312" w:eastAsia="仿宋_GB2312" w:cs="仿宋_GB2312"/>
          <w:color w:val="auto"/>
          <w:sz w:val="32"/>
          <w:szCs w:val="32"/>
          <w:highlight w:val="none"/>
        </w:rPr>
        <w:t>0</w:t>
      </w:r>
      <w:r>
        <w:rPr>
          <w:rFonts w:hint="eastAsia" w:ascii="仿宋_GB2312" w:hAnsi="仿宋_GB2312" w:eastAsia="仿宋_GB2312" w:cs="仿宋_GB2312"/>
          <w:color w:val="auto"/>
          <w:sz w:val="32"/>
          <w:szCs w:val="32"/>
          <w:highlight w:val="none"/>
        </w:rPr>
        <w:t>分，绩效级别为“优秀”。其中，当年预算执行情况</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9.5</w:t>
      </w:r>
      <w:r>
        <w:rPr>
          <w:rFonts w:ascii="仿宋_GB2312" w:hAnsi="仿宋_GB2312" w:eastAsia="仿宋_GB2312" w:cs="仿宋_GB2312"/>
          <w:color w:val="auto"/>
          <w:sz w:val="32"/>
          <w:szCs w:val="32"/>
          <w:highlight w:val="none"/>
        </w:rPr>
        <w:t>0</w:t>
      </w:r>
      <w:r>
        <w:rPr>
          <w:rFonts w:hint="eastAsia" w:ascii="仿宋_GB2312" w:hAnsi="仿宋_GB2312" w:eastAsia="仿宋_GB2312" w:cs="仿宋_GB2312"/>
          <w:color w:val="auto"/>
          <w:sz w:val="32"/>
          <w:szCs w:val="32"/>
          <w:highlight w:val="none"/>
        </w:rPr>
        <w:t>分，整体绩效目标实现情况</w:t>
      </w:r>
      <w:r>
        <w:rPr>
          <w:rFonts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val="en-US" w:eastAsia="zh-CN"/>
        </w:rPr>
        <w:t>5</w:t>
      </w:r>
      <w:r>
        <w:rPr>
          <w:rFonts w:ascii="仿宋_GB2312" w:hAnsi="仿宋_GB2312" w:eastAsia="仿宋_GB2312" w:cs="仿宋_GB2312"/>
          <w:color w:val="auto"/>
          <w:sz w:val="32"/>
          <w:szCs w:val="32"/>
          <w:highlight w:val="none"/>
        </w:rPr>
        <w:t>.00</w:t>
      </w:r>
      <w:r>
        <w:rPr>
          <w:rFonts w:hint="eastAsia" w:ascii="仿宋_GB2312" w:hAnsi="仿宋_GB2312" w:eastAsia="仿宋_GB2312" w:cs="仿宋_GB2312"/>
          <w:color w:val="auto"/>
          <w:sz w:val="32"/>
          <w:szCs w:val="32"/>
          <w:highlight w:val="none"/>
        </w:rPr>
        <w:t>分，预算管理情况</w:t>
      </w:r>
      <w:r>
        <w:rPr>
          <w:rFonts w:hint="eastAsia" w:ascii="仿宋_GB2312" w:hAnsi="仿宋_GB2312" w:eastAsia="仿宋_GB2312" w:cs="仿宋_GB2312"/>
          <w:color w:val="auto"/>
          <w:sz w:val="32"/>
          <w:szCs w:val="32"/>
          <w:highlight w:val="none"/>
          <w:lang w:val="en-US" w:eastAsia="zh-CN"/>
        </w:rPr>
        <w:t>20.0</w:t>
      </w:r>
      <w:r>
        <w:rPr>
          <w:rFonts w:ascii="仿宋_GB2312" w:hAnsi="仿宋_GB2312" w:eastAsia="仿宋_GB2312" w:cs="仿宋_GB2312"/>
          <w:color w:val="auto"/>
          <w:sz w:val="32"/>
          <w:szCs w:val="32"/>
          <w:highlight w:val="none"/>
        </w:rPr>
        <w:t>0</w:t>
      </w:r>
      <w:r>
        <w:rPr>
          <w:rFonts w:hint="eastAsia" w:ascii="仿宋_GB2312" w:hAnsi="仿宋_GB2312" w:eastAsia="仿宋_GB2312" w:cs="仿宋_GB2312"/>
          <w:color w:val="auto"/>
          <w:sz w:val="32"/>
          <w:szCs w:val="32"/>
          <w:highlight w:val="none"/>
        </w:rPr>
        <w:t>分。</w:t>
      </w:r>
    </w:p>
    <w:p>
      <w:pPr>
        <w:pStyle w:val="3"/>
        <w:spacing w:before="0" w:after="0" w:line="240" w:lineRule="auto"/>
        <w:ind w:firstLine="643" w:firstLineChars="200"/>
        <w:rPr>
          <w:rFonts w:ascii="仿宋_GB2312" w:eastAsia="仿宋_GB2312"/>
        </w:rPr>
      </w:pPr>
      <w:bookmarkStart w:id="28" w:name="_Toc135212468"/>
      <w:r>
        <w:rPr>
          <w:rFonts w:hint="eastAsia" w:ascii="仿宋_GB2312" w:eastAsia="仿宋_GB2312"/>
        </w:rPr>
        <w:t>（二）存在的问题及原因分析</w:t>
      </w:r>
      <w:bookmarkEnd w:id="28"/>
    </w:p>
    <w:p>
      <w:pPr>
        <w:ind w:firstLine="640" w:firstLineChars="200"/>
        <w:rPr>
          <w:rFonts w:hint="eastAsia" w:ascii="仿宋_GB2312" w:hAnsi="Times New Roman" w:eastAsia="仿宋_GB2312" w:cs="Times New Roman"/>
          <w:sz w:val="32"/>
          <w:szCs w:val="32"/>
        </w:rPr>
      </w:pPr>
      <w:r>
        <w:rPr>
          <w:rFonts w:hint="eastAsia" w:ascii="仿宋_GB2312" w:eastAsia="仿宋_GB2312"/>
          <w:sz w:val="32"/>
          <w:szCs w:val="32"/>
          <w:lang w:val="en-US" w:eastAsia="zh-CN"/>
        </w:rPr>
        <w:t>1</w:t>
      </w:r>
      <w:r>
        <w:rPr>
          <w:rFonts w:hint="eastAsia" w:ascii="仿宋_GB2312" w:eastAsia="仿宋_GB2312"/>
          <w:sz w:val="32"/>
          <w:szCs w:val="32"/>
        </w:rPr>
        <w:t>.个别项目绩效指标完整性及细化程度不足。一是部分项目仅设置数量指标，未明确项目实施的工作节点和任</w:t>
      </w:r>
      <w:r>
        <w:rPr>
          <w:rFonts w:hint="eastAsia" w:ascii="仿宋_GB2312" w:hAnsi="Times New Roman" w:eastAsia="仿宋_GB2312" w:cs="Times New Roman"/>
          <w:sz w:val="32"/>
          <w:szCs w:val="32"/>
        </w:rPr>
        <w:t>务完成的时间安排及项目的产出效益情况，目标设定的科学性有待加强；二是部分项目对于效益指标设定不够完善、量化，如：</w:t>
      </w:r>
      <w:r>
        <w:rPr>
          <w:rFonts w:hint="eastAsia" w:ascii="仿宋_GB2312" w:hAnsi="仿宋_GB2312" w:eastAsia="仿宋_GB2312" w:cs="仿宋_GB2312"/>
          <w:sz w:val="32"/>
          <w:szCs w:val="32"/>
        </w:rPr>
        <w:t>联络工作经费</w:t>
      </w:r>
      <w:r>
        <w:rPr>
          <w:rFonts w:hint="eastAsia" w:ascii="仿宋_GB2312" w:hAnsi="Times New Roman" w:eastAsia="仿宋_GB2312" w:cs="Times New Roman"/>
          <w:sz w:val="32"/>
          <w:szCs w:val="32"/>
        </w:rPr>
        <w:t>项目服务对象满意度指标</w:t>
      </w:r>
      <w:r>
        <w:rPr>
          <w:rFonts w:hint="eastAsia" w:ascii="仿宋_GB2312" w:hAnsi="Times New Roman" w:eastAsia="仿宋_GB2312" w:cs="Times New Roman"/>
          <w:sz w:val="32"/>
          <w:szCs w:val="32"/>
          <w:lang w:val="en-US" w:eastAsia="zh-CN"/>
        </w:rPr>
        <w:t>设定为</w:t>
      </w:r>
      <w:r>
        <w:rPr>
          <w:rFonts w:hint="eastAsia" w:ascii="仿宋_GB2312" w:hAnsi="Times New Roman" w:eastAsia="仿宋_GB2312" w:cs="Times New Roman"/>
          <w:sz w:val="32"/>
          <w:szCs w:val="32"/>
        </w:rPr>
        <w:t>得到盟员、台胞的认可</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指标值为</w:t>
      </w:r>
      <w:r>
        <w:rPr>
          <w:rFonts w:hint="eastAsia" w:ascii="仿宋_GB2312" w:hAnsi="Times New Roman" w:eastAsia="仿宋_GB2312" w:cs="Times New Roman"/>
          <w:sz w:val="32"/>
          <w:szCs w:val="32"/>
        </w:rPr>
        <w:t>满意度较往年提高。</w:t>
      </w:r>
    </w:p>
    <w:p>
      <w:pPr>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w:t>
      </w:r>
      <w:r>
        <w:rPr>
          <w:rFonts w:hint="eastAsia" w:ascii="仿宋_GB2312" w:eastAsia="仿宋_GB2312"/>
          <w:sz w:val="32"/>
          <w:szCs w:val="32"/>
        </w:rPr>
        <w:t>满意度调查资料不充分，项目实施效果展现不完整。</w:t>
      </w:r>
    </w:p>
    <w:p>
      <w:pPr>
        <w:spacing w:line="360" w:lineRule="auto"/>
        <w:ind w:firstLine="640" w:firstLineChars="200"/>
        <w:outlineLvl w:val="0"/>
        <w:rPr>
          <w:rFonts w:ascii="仿宋_GB2312" w:hAnsi="宋体" w:eastAsia="仿宋_GB2312" w:cs="宋体"/>
          <w:color w:val="000000"/>
          <w:kern w:val="0"/>
          <w:sz w:val="32"/>
          <w:szCs w:val="32"/>
        </w:rPr>
      </w:pPr>
      <w:bookmarkStart w:id="29" w:name="_Toc135212469"/>
      <w:r>
        <w:rPr>
          <w:rFonts w:hint="eastAsia" w:ascii="黑体" w:hAnsi="黑体" w:eastAsia="黑体" w:cs="仿宋_GB2312"/>
          <w:color w:val="000000"/>
          <w:kern w:val="0"/>
          <w:sz w:val="32"/>
          <w:szCs w:val="32"/>
        </w:rPr>
        <w:t>六、措施建议</w:t>
      </w:r>
      <w:bookmarkEnd w:id="29"/>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科学合理全面地设置绩效指标，使其清晰、细化、可衡量，结合项目特点，全面完整地反映项目的产出和绩效。</w:t>
      </w:r>
    </w:p>
    <w:p>
      <w:pPr>
        <w:widowControl/>
        <w:spacing w:line="360" w:lineRule="auto"/>
        <w:ind w:firstLine="640" w:firstLineChars="200"/>
        <w:rPr>
          <w:rFonts w:ascii="仿宋_GB2312" w:hAnsi="宋体" w:eastAsia="仿宋_GB2312" w:cs="宋体"/>
          <w:color w:val="000000"/>
          <w:kern w:val="0"/>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加强部门工作全过程管理，及时收集相关工作资料，充分展现部门工作完成情况及服务对象满意度情况。</w:t>
      </w:r>
    </w:p>
    <w:p>
      <w:pPr>
        <w:spacing w:line="360" w:lineRule="auto"/>
        <w:ind w:firstLine="640" w:firstLineChars="200"/>
        <w:outlineLvl w:val="0"/>
        <w:rPr>
          <w:rFonts w:ascii="黑体" w:hAnsi="黑体" w:eastAsia="黑体" w:cs="仿宋_GB2312"/>
          <w:color w:val="000000"/>
          <w:kern w:val="0"/>
          <w:sz w:val="32"/>
          <w:szCs w:val="32"/>
        </w:rPr>
      </w:pPr>
      <w:bookmarkStart w:id="30" w:name="_Toc103006301"/>
      <w:bookmarkStart w:id="31" w:name="_Toc135212470"/>
      <w:r>
        <w:rPr>
          <w:rFonts w:hint="eastAsia" w:ascii="黑体" w:hAnsi="黑体" w:eastAsia="黑体" w:cs="仿宋_GB2312"/>
          <w:color w:val="000000"/>
          <w:kern w:val="0"/>
          <w:sz w:val="32"/>
          <w:szCs w:val="32"/>
        </w:rPr>
        <w:t>七、附件</w:t>
      </w:r>
      <w:bookmarkEnd w:id="30"/>
      <w:bookmarkEnd w:id="31"/>
    </w:p>
    <w:p>
      <w:pPr>
        <w:spacing w:line="560" w:lineRule="exact"/>
        <w:ind w:firstLine="640" w:firstLineChars="200"/>
        <w:rPr>
          <w:rFonts w:ascii="仿宋_GB2312" w:hAnsi="Calibri" w:eastAsia="仿宋_GB2312"/>
          <w:sz w:val="32"/>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仿宋_GB2312" w:hAnsi="Calibri" w:eastAsia="仿宋_GB2312"/>
          <w:sz w:val="32"/>
        </w:rPr>
        <w:t>202</w:t>
      </w:r>
      <w:r>
        <w:rPr>
          <w:rFonts w:hint="eastAsia" w:ascii="仿宋_GB2312" w:hAnsi="Calibri" w:eastAsia="仿宋_GB2312"/>
          <w:sz w:val="32"/>
          <w:lang w:val="en-US" w:eastAsia="zh-CN"/>
        </w:rPr>
        <w:t>5</w:t>
      </w:r>
      <w:r>
        <w:rPr>
          <w:rFonts w:hint="eastAsia" w:ascii="仿宋_GB2312" w:hAnsi="Calibri" w:eastAsia="仿宋_GB2312"/>
          <w:sz w:val="32"/>
        </w:rPr>
        <w:t>年部门整体绩效评价指标体系评分表</w:t>
      </w:r>
    </w:p>
    <w:tbl>
      <w:tblPr>
        <w:tblStyle w:val="10"/>
        <w:tblW w:w="14175" w:type="dxa"/>
        <w:tblInd w:w="0" w:type="dxa"/>
        <w:tblLayout w:type="fixed"/>
        <w:tblCellMar>
          <w:top w:w="0" w:type="dxa"/>
          <w:left w:w="108" w:type="dxa"/>
          <w:bottom w:w="0" w:type="dxa"/>
          <w:right w:w="108" w:type="dxa"/>
        </w:tblCellMar>
      </w:tblPr>
      <w:tblGrid>
        <w:gridCol w:w="831"/>
        <w:gridCol w:w="831"/>
        <w:gridCol w:w="1440"/>
        <w:gridCol w:w="1440"/>
        <w:gridCol w:w="1650"/>
        <w:gridCol w:w="720"/>
        <w:gridCol w:w="862"/>
        <w:gridCol w:w="3317"/>
        <w:gridCol w:w="3084"/>
      </w:tblGrid>
      <w:tr>
        <w:tblPrEx>
          <w:tblLayout w:type="fixed"/>
          <w:tblCellMar>
            <w:top w:w="0" w:type="dxa"/>
            <w:left w:w="108" w:type="dxa"/>
            <w:bottom w:w="0" w:type="dxa"/>
            <w:right w:w="108" w:type="dxa"/>
          </w:tblCellMar>
        </w:tblPrEx>
        <w:trPr>
          <w:trHeight w:val="499" w:hRule="atLeast"/>
        </w:trPr>
        <w:tc>
          <w:tcPr>
            <w:tcW w:w="14175" w:type="dxa"/>
            <w:gridSpan w:val="9"/>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000000"/>
                <w:kern w:val="0"/>
                <w:sz w:val="44"/>
                <w:szCs w:val="44"/>
              </w:rPr>
            </w:pPr>
            <w:r>
              <w:rPr>
                <w:rFonts w:hint="eastAsia" w:ascii="方正小标宋_GBK" w:hAnsi="方正小标宋_GBK" w:eastAsia="方正小标宋_GBK" w:cs="方正小标宋_GBK"/>
                <w:color w:val="000000"/>
                <w:kern w:val="0"/>
                <w:sz w:val="44"/>
                <w:szCs w:val="44"/>
              </w:rPr>
              <w:t>202</w:t>
            </w:r>
            <w:r>
              <w:rPr>
                <w:rFonts w:hint="eastAsia" w:ascii="方正小标宋_GBK" w:hAnsi="方正小标宋_GBK" w:eastAsia="方正小标宋_GBK" w:cs="方正小标宋_GBK"/>
                <w:color w:val="000000"/>
                <w:kern w:val="0"/>
                <w:sz w:val="44"/>
                <w:szCs w:val="44"/>
                <w:lang w:val="en-US" w:eastAsia="zh-CN"/>
              </w:rPr>
              <w:t>5</w:t>
            </w:r>
            <w:r>
              <w:rPr>
                <w:rFonts w:hint="eastAsia" w:ascii="方正小标宋_GBK" w:hAnsi="方正小标宋_GBK" w:eastAsia="方正小标宋_GBK" w:cs="方正小标宋_GBK"/>
                <w:color w:val="000000"/>
                <w:kern w:val="0"/>
                <w:sz w:val="44"/>
                <w:szCs w:val="44"/>
              </w:rPr>
              <w:t>年部门整体绩效评价指标体系评分表</w:t>
            </w:r>
          </w:p>
        </w:tc>
      </w:tr>
      <w:tr>
        <w:tblPrEx>
          <w:tblLayout w:type="fixed"/>
          <w:tblCellMar>
            <w:top w:w="0" w:type="dxa"/>
            <w:left w:w="108" w:type="dxa"/>
            <w:bottom w:w="0" w:type="dxa"/>
            <w:right w:w="108" w:type="dxa"/>
          </w:tblCellMar>
        </w:tblPrEx>
        <w:trPr>
          <w:trHeight w:val="470" w:hRule="atLeast"/>
        </w:trPr>
        <w:tc>
          <w:tcPr>
            <w:tcW w:w="14175" w:type="dxa"/>
            <w:gridSpan w:val="9"/>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Layout w:type="fixed"/>
          <w:tblCellMar>
            <w:top w:w="0" w:type="dxa"/>
            <w:left w:w="108" w:type="dxa"/>
            <w:bottom w:w="0" w:type="dxa"/>
            <w:right w:w="108" w:type="dxa"/>
          </w:tblCellMar>
        </w:tblPrEx>
        <w:trPr>
          <w:trHeight w:val="660" w:hRule="atLeast"/>
        </w:trPr>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33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30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Layout w:type="fixed"/>
          <w:tblCellMar>
            <w:top w:w="0" w:type="dxa"/>
            <w:left w:w="108" w:type="dxa"/>
            <w:bottom w:w="0" w:type="dxa"/>
            <w:right w:w="108" w:type="dxa"/>
          </w:tblCellMar>
        </w:tblPrEx>
        <w:trPr>
          <w:trHeight w:val="630" w:hRule="atLeast"/>
        </w:trPr>
        <w:tc>
          <w:tcPr>
            <w:tcW w:w="831"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446</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610887　</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411</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981997</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97.61</w:t>
            </w:r>
            <w:r>
              <w:rPr>
                <w:rFonts w:ascii="宋体" w:hAnsi="宋体" w:cs="宋体"/>
                <w:color w:val="000000"/>
                <w:kern w:val="0"/>
                <w:sz w:val="20"/>
                <w:szCs w:val="20"/>
              </w:rPr>
              <w:t>%</w:t>
            </w:r>
            <w:r>
              <w:rPr>
                <w:rFonts w:hint="eastAsia" w:ascii="宋体" w:hAnsi="宋体" w:cs="宋体"/>
                <w:color w:val="000000"/>
                <w:kern w:val="0"/>
                <w:sz w:val="20"/>
                <w:szCs w:val="20"/>
              </w:rPr>
              <w:t>　</w:t>
            </w:r>
          </w:p>
        </w:tc>
        <w:tc>
          <w:tcPr>
            <w:tcW w:w="72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62"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9</w:t>
            </w:r>
            <w:r>
              <w:rPr>
                <w:rFonts w:ascii="宋体" w:hAnsi="宋体" w:cs="宋体"/>
                <w:color w:val="000000"/>
                <w:kern w:val="0"/>
                <w:sz w:val="20"/>
                <w:szCs w:val="20"/>
              </w:rPr>
              <w:t>.</w:t>
            </w:r>
            <w:r>
              <w:rPr>
                <w:rFonts w:hint="eastAsia" w:ascii="宋体" w:hAnsi="宋体" w:cs="宋体"/>
                <w:color w:val="000000"/>
                <w:kern w:val="0"/>
                <w:sz w:val="20"/>
                <w:szCs w:val="20"/>
                <w:lang w:val="en-US" w:eastAsia="zh-CN"/>
              </w:rPr>
              <w:t>5</w:t>
            </w:r>
            <w:r>
              <w:rPr>
                <w:rFonts w:ascii="宋体" w:hAnsi="宋体" w:cs="宋体"/>
                <w:color w:val="000000"/>
                <w:kern w:val="0"/>
                <w:sz w:val="20"/>
                <w:szCs w:val="20"/>
              </w:rPr>
              <w:t>0</w:t>
            </w:r>
          </w:p>
        </w:tc>
        <w:tc>
          <w:tcPr>
            <w:tcW w:w="331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3084"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Layout w:type="fixed"/>
          <w:tblCellMar>
            <w:top w:w="0" w:type="dxa"/>
            <w:left w:w="108" w:type="dxa"/>
            <w:bottom w:w="0" w:type="dxa"/>
            <w:right w:w="108" w:type="dxa"/>
          </w:tblCellMar>
        </w:tblPrEx>
        <w:trPr>
          <w:trHeight w:val="600"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233</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859987</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215</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941343</w:t>
            </w:r>
          </w:p>
        </w:tc>
        <w:tc>
          <w:tcPr>
            <w:tcW w:w="165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yellow"/>
              </w:rPr>
            </w:pPr>
            <w:r>
              <w:rPr>
                <w:rFonts w:hint="eastAsia" w:ascii="宋体" w:hAnsi="宋体" w:cs="宋体"/>
                <w:color w:val="000000"/>
                <w:kern w:val="0"/>
                <w:sz w:val="20"/>
                <w:szCs w:val="20"/>
              </w:rPr>
              <w:t>——</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62"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highlight w:val="yellow"/>
              </w:rPr>
            </w:pPr>
          </w:p>
        </w:tc>
        <w:tc>
          <w:tcPr>
            <w:tcW w:w="33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yellow"/>
              </w:rPr>
            </w:pPr>
          </w:p>
        </w:tc>
        <w:tc>
          <w:tcPr>
            <w:tcW w:w="3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yellow"/>
              </w:rPr>
            </w:pPr>
          </w:p>
        </w:tc>
      </w:tr>
      <w:tr>
        <w:tblPrEx>
          <w:tblLayout w:type="fixed"/>
          <w:tblCellMar>
            <w:top w:w="0" w:type="dxa"/>
            <w:left w:w="108" w:type="dxa"/>
            <w:bottom w:w="0" w:type="dxa"/>
            <w:right w:w="108" w:type="dxa"/>
          </w:tblCellMar>
        </w:tblPrEx>
        <w:trPr>
          <w:trHeight w:val="615"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212</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7509</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196</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040654</w:t>
            </w:r>
          </w:p>
        </w:tc>
        <w:tc>
          <w:tcPr>
            <w:tcW w:w="16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62"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highlight w:val="yellow"/>
              </w:rPr>
            </w:pPr>
          </w:p>
        </w:tc>
        <w:tc>
          <w:tcPr>
            <w:tcW w:w="33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yellow"/>
              </w:rPr>
            </w:pPr>
          </w:p>
        </w:tc>
        <w:tc>
          <w:tcPr>
            <w:tcW w:w="3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yellow"/>
              </w:rPr>
            </w:pPr>
          </w:p>
        </w:tc>
      </w:tr>
      <w:tr>
        <w:tblPrEx>
          <w:tblLayout w:type="fixed"/>
          <w:tblCellMar>
            <w:top w:w="0" w:type="dxa"/>
            <w:left w:w="108" w:type="dxa"/>
            <w:bottom w:w="0" w:type="dxa"/>
            <w:right w:w="108" w:type="dxa"/>
          </w:tblCellMar>
        </w:tblPrEx>
        <w:trPr>
          <w:trHeight w:val="2136"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6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62"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highlight w:val="yellow"/>
              </w:rPr>
            </w:pPr>
          </w:p>
        </w:tc>
        <w:tc>
          <w:tcPr>
            <w:tcW w:w="33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yellow"/>
              </w:rPr>
            </w:pPr>
          </w:p>
        </w:tc>
        <w:tc>
          <w:tcPr>
            <w:tcW w:w="3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yellow"/>
              </w:rPr>
            </w:pPr>
          </w:p>
        </w:tc>
      </w:tr>
      <w:tr>
        <w:tblPrEx>
          <w:tblLayout w:type="fixed"/>
          <w:tblCellMar>
            <w:top w:w="0" w:type="dxa"/>
            <w:left w:w="108" w:type="dxa"/>
            <w:bottom w:w="0" w:type="dxa"/>
            <w:right w:w="108" w:type="dxa"/>
          </w:tblCellMar>
        </w:tblPrEx>
        <w:trPr>
          <w:trHeight w:val="569" w:hRule="atLeast"/>
        </w:trPr>
        <w:tc>
          <w:tcPr>
            <w:tcW w:w="14175" w:type="dxa"/>
            <w:gridSpan w:val="9"/>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Layout w:type="fixed"/>
          <w:tblCellMar>
            <w:top w:w="0" w:type="dxa"/>
            <w:left w:w="108" w:type="dxa"/>
            <w:bottom w:w="0" w:type="dxa"/>
            <w:right w:w="108" w:type="dxa"/>
          </w:tblCellMar>
        </w:tblPrEx>
        <w:trPr>
          <w:trHeight w:val="499" w:hRule="atLeast"/>
        </w:trPr>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83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62"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0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trHeight w:val="1196" w:hRule="atLeast"/>
        </w:trPr>
        <w:tc>
          <w:tcPr>
            <w:tcW w:w="83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831" w:type="dxa"/>
            <w:vMerge w:val="restart"/>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数量指标</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市、区级盟员培训次数</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eastAsia="宋体" w:cs="宋体"/>
                <w:color w:val="000000"/>
                <w:kern w:val="0"/>
                <w:sz w:val="20"/>
                <w:szCs w:val="20"/>
              </w:rPr>
              <w:t>≥2次</w:t>
            </w: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eastAsia="宋体" w:cs="宋体"/>
                <w:color w:val="000000"/>
                <w:kern w:val="0"/>
                <w:sz w:val="20"/>
                <w:szCs w:val="20"/>
              </w:rPr>
              <w:t>举办第十</w:t>
            </w:r>
            <w:r>
              <w:rPr>
                <w:rFonts w:hint="eastAsia" w:ascii="宋体" w:hAnsi="宋体" w:cs="宋体"/>
                <w:color w:val="000000"/>
                <w:kern w:val="0"/>
                <w:sz w:val="20"/>
                <w:szCs w:val="20"/>
                <w:lang w:val="en-US" w:eastAsia="zh-CN"/>
              </w:rPr>
              <w:t>八</w:t>
            </w:r>
            <w:r>
              <w:rPr>
                <w:rFonts w:hint="eastAsia" w:ascii="宋体" w:hAnsi="宋体" w:eastAsia="宋体" w:cs="宋体"/>
                <w:color w:val="000000"/>
                <w:kern w:val="0"/>
                <w:sz w:val="20"/>
                <w:szCs w:val="20"/>
              </w:rPr>
              <w:t>届“交流与共享”研讨</w:t>
            </w:r>
            <w:r>
              <w:rPr>
                <w:rFonts w:hint="eastAsia" w:ascii="宋体" w:hAnsi="宋体" w:eastAsia="宋体" w:cs="宋体"/>
                <w:color w:val="000000"/>
                <w:kern w:val="0"/>
                <w:sz w:val="20"/>
                <w:szCs w:val="20"/>
                <w:lang w:val="en-US" w:eastAsia="zh-CN"/>
              </w:rPr>
              <w:t>会</w:t>
            </w:r>
            <w:r>
              <w:rPr>
                <w:rFonts w:hint="eastAsia" w:ascii="宋体" w:hAnsi="宋体" w:eastAsia="宋体" w:cs="宋体"/>
                <w:color w:val="000000"/>
                <w:kern w:val="0"/>
                <w:sz w:val="20"/>
                <w:szCs w:val="20"/>
                <w:lang w:eastAsia="zh-CN"/>
              </w:rPr>
              <w:t>；举办两岸融合发展交流营京辽分营暨第十一届京台文化研习营活动</w:t>
            </w:r>
          </w:p>
        </w:tc>
        <w:tc>
          <w:tcPr>
            <w:tcW w:w="720"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862" w:type="dxa"/>
            <w:tcBorders>
              <w:top w:val="single" w:color="auto" w:sz="4" w:space="0"/>
              <w:left w:val="nil"/>
              <w:bottom w:val="single" w:color="auto" w:sz="4" w:space="0"/>
              <w:right w:val="nil"/>
            </w:tcBorders>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3317"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3084"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Layout w:type="fixed"/>
          <w:tblCellMar>
            <w:top w:w="0" w:type="dxa"/>
            <w:left w:w="108" w:type="dxa"/>
            <w:bottom w:w="0" w:type="dxa"/>
            <w:right w:w="108" w:type="dxa"/>
          </w:tblCellMar>
        </w:tblPrEx>
        <w:trPr>
          <w:trHeight w:val="676"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数量指标：重点调研课题个数</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≥8个</w:t>
            </w: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eastAsia="宋体" w:cs="宋体"/>
                <w:color w:val="000000"/>
                <w:kern w:val="0"/>
                <w:sz w:val="20"/>
                <w:szCs w:val="20"/>
              </w:rPr>
              <w:t>全年确立重点调研课题</w:t>
            </w:r>
            <w:r>
              <w:rPr>
                <w:rFonts w:hint="eastAsia" w:ascii="宋体" w:hAnsi="宋体" w:cs="宋体"/>
                <w:color w:val="000000"/>
                <w:kern w:val="0"/>
                <w:sz w:val="20"/>
                <w:szCs w:val="20"/>
                <w:lang w:val="en-US" w:eastAsia="zh-CN"/>
              </w:rPr>
              <w:t>7</w:t>
            </w:r>
            <w:r>
              <w:rPr>
                <w:rFonts w:hint="eastAsia" w:ascii="宋体" w:hAnsi="宋体" w:eastAsia="宋体" w:cs="宋体"/>
                <w:color w:val="000000"/>
                <w:kern w:val="0"/>
                <w:sz w:val="20"/>
                <w:szCs w:val="20"/>
              </w:rPr>
              <w:t>项，收集、整理、报送涉台信息30余篇，汇总编制《高雄市动态信息》6期</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 xml:space="preserve"> 推送涉台学习资料4期，开展机关台情教育4次。</w:t>
            </w:r>
          </w:p>
        </w:tc>
        <w:tc>
          <w:tcPr>
            <w:tcW w:w="7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862"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w:t>
            </w:r>
          </w:p>
        </w:tc>
        <w:tc>
          <w:tcPr>
            <w:tcW w:w="3317"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84"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827"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经济成本指标：成本金额</w:t>
            </w: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万元</w:t>
            </w:r>
          </w:p>
        </w:tc>
        <w:tc>
          <w:tcPr>
            <w:tcW w:w="165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lang w:val="en-US" w:eastAsia="zh-CN"/>
              </w:rPr>
              <w:t>5万元</w:t>
            </w:r>
          </w:p>
        </w:tc>
        <w:tc>
          <w:tcPr>
            <w:tcW w:w="7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862" w:type="dxa"/>
            <w:tcBorders>
              <w:top w:val="nil"/>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3317"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84"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75"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社会效益指标：得到台盟中央和北京市上级部门的认可</w:t>
            </w:r>
            <w:r>
              <w:rPr>
                <w:rFonts w:hint="eastAsia" w:ascii="宋体" w:hAnsi="宋体" w:cs="宋体"/>
                <w:color w:val="000000"/>
                <w:kern w:val="0"/>
                <w:sz w:val="20"/>
                <w:szCs w:val="20"/>
                <w:lang w:eastAsia="zh-CN"/>
              </w:rPr>
              <w:t>。</w:t>
            </w: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社会认可度较上年有所提升</w:t>
            </w:r>
          </w:p>
        </w:tc>
        <w:tc>
          <w:tcPr>
            <w:tcW w:w="165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eastAsia="宋体" w:cs="宋体"/>
                <w:color w:val="000000"/>
                <w:kern w:val="0"/>
                <w:sz w:val="20"/>
                <w:szCs w:val="20"/>
              </w:rPr>
              <w:t>台盟北京市委被台盟中央授予“筑梦系列帮扶培训工作突出贡献奖”</w:t>
            </w:r>
          </w:p>
        </w:tc>
        <w:tc>
          <w:tcPr>
            <w:tcW w:w="72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w:t>
            </w:r>
            <w:r>
              <w:rPr>
                <w:rFonts w:hint="eastAsia" w:ascii="宋体" w:hAnsi="宋体" w:cs="宋体"/>
                <w:color w:val="000000"/>
                <w:kern w:val="0"/>
                <w:sz w:val="20"/>
                <w:szCs w:val="20"/>
              </w:rPr>
              <w:t>0</w:t>
            </w:r>
          </w:p>
        </w:tc>
        <w:tc>
          <w:tcPr>
            <w:tcW w:w="862" w:type="dxa"/>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9</w:t>
            </w:r>
          </w:p>
        </w:tc>
        <w:tc>
          <w:tcPr>
            <w:tcW w:w="3317"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3084"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Layout w:type="fixed"/>
          <w:tblCellMar>
            <w:top w:w="0" w:type="dxa"/>
            <w:left w:w="108" w:type="dxa"/>
            <w:bottom w:w="0" w:type="dxa"/>
            <w:right w:w="108" w:type="dxa"/>
          </w:tblCellMar>
        </w:tblPrEx>
        <w:trPr>
          <w:trHeight w:val="675"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社会效益指标：反映对台联络工作方式。</w:t>
            </w: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对台联络方式较上年有所提升</w:t>
            </w:r>
          </w:p>
        </w:tc>
        <w:tc>
          <w:tcPr>
            <w:tcW w:w="165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积极拓展工作路径，扩大台胞的参与和融入</w:t>
            </w:r>
          </w:p>
        </w:tc>
        <w:tc>
          <w:tcPr>
            <w:tcW w:w="72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w:t>
            </w:r>
            <w:r>
              <w:rPr>
                <w:rFonts w:hint="eastAsia" w:ascii="宋体" w:hAnsi="宋体" w:cs="宋体"/>
                <w:color w:val="000000"/>
                <w:kern w:val="0"/>
                <w:sz w:val="20"/>
                <w:szCs w:val="20"/>
              </w:rPr>
              <w:t>0</w:t>
            </w:r>
          </w:p>
        </w:tc>
        <w:tc>
          <w:tcPr>
            <w:tcW w:w="862" w:type="dxa"/>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9</w:t>
            </w:r>
          </w:p>
        </w:tc>
        <w:tc>
          <w:tcPr>
            <w:tcW w:w="33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3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75"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盟员满意度</w:t>
            </w: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r>
              <w:rPr>
                <w:rFonts w:hint="eastAsia"/>
                <w:lang w:val="en-US" w:eastAsia="zh-CN"/>
              </w:rPr>
              <w:t>90%</w:t>
            </w:r>
          </w:p>
        </w:tc>
        <w:tc>
          <w:tcPr>
            <w:tcW w:w="165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val="en-US" w:eastAsia="zh-CN"/>
              </w:rPr>
            </w:pPr>
            <w:r>
              <w:rPr>
                <w:rFonts w:hint="eastAsia"/>
                <w:lang w:val="en-US" w:eastAsia="zh-CN"/>
              </w:rPr>
              <w:t>满意</w:t>
            </w:r>
          </w:p>
        </w:tc>
        <w:tc>
          <w:tcPr>
            <w:tcW w:w="72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5</w:t>
            </w:r>
          </w:p>
        </w:tc>
        <w:tc>
          <w:tcPr>
            <w:tcW w:w="862" w:type="dxa"/>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4</w:t>
            </w:r>
          </w:p>
        </w:tc>
        <w:tc>
          <w:tcPr>
            <w:tcW w:w="33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3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75" w:hRule="atLeast"/>
        </w:trPr>
        <w:tc>
          <w:tcPr>
            <w:tcW w:w="831" w:type="dxa"/>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44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盟员满意度</w:t>
            </w:r>
          </w:p>
        </w:tc>
        <w:tc>
          <w:tcPr>
            <w:tcW w:w="144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lang w:val="en-US" w:eastAsia="zh-CN"/>
              </w:rPr>
              <w:t>90%</w:t>
            </w:r>
          </w:p>
        </w:tc>
        <w:tc>
          <w:tcPr>
            <w:tcW w:w="165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lang w:val="en-US" w:eastAsia="zh-CN"/>
              </w:rPr>
              <w:t>满意</w:t>
            </w:r>
          </w:p>
        </w:tc>
        <w:tc>
          <w:tcPr>
            <w:tcW w:w="72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862" w:type="dxa"/>
            <w:tcBorders>
              <w:top w:val="nil"/>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w:t>
            </w:r>
          </w:p>
        </w:tc>
        <w:tc>
          <w:tcPr>
            <w:tcW w:w="331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308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99" w:hRule="atLeast"/>
        </w:trPr>
        <w:tc>
          <w:tcPr>
            <w:tcW w:w="14175"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yellow"/>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Layout w:type="fixed"/>
          <w:tblCellMar>
            <w:top w:w="0" w:type="dxa"/>
            <w:left w:w="108" w:type="dxa"/>
            <w:bottom w:w="0" w:type="dxa"/>
            <w:right w:w="108" w:type="dxa"/>
          </w:tblCellMar>
        </w:tblPrEx>
        <w:trPr>
          <w:trHeight w:val="702" w:hRule="atLeast"/>
        </w:trPr>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862"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08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trHeight w:val="1230" w:hRule="atLeast"/>
        </w:trPr>
        <w:tc>
          <w:tcPr>
            <w:tcW w:w="83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83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000000"/>
                <w:kern w:val="0"/>
                <w:sz w:val="20"/>
                <w:szCs w:val="20"/>
              </w:rPr>
            </w:pPr>
            <w:r>
              <w:rPr>
                <w:rFonts w:hint="eastAsia" w:cs="仿宋" w:asciiTheme="minorEastAsia" w:hAnsiTheme="minorEastAsia" w:eastAsiaTheme="minorEastAsia"/>
                <w:color w:val="000000"/>
                <w:kern w:val="0"/>
                <w:sz w:val="20"/>
                <w:szCs w:val="20"/>
              </w:rPr>
              <w:t>制度健全满足日常管理和核算要求</w:t>
            </w:r>
          </w:p>
        </w:tc>
        <w:tc>
          <w:tcPr>
            <w:tcW w:w="1650"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000000"/>
                <w:kern w:val="0"/>
                <w:sz w:val="20"/>
                <w:szCs w:val="20"/>
              </w:rPr>
            </w:pPr>
            <w:r>
              <w:rPr>
                <w:rFonts w:hint="eastAsia" w:cs="仿宋" w:asciiTheme="minorEastAsia" w:hAnsiTheme="minorEastAsia" w:eastAsiaTheme="minorEastAsia"/>
                <w:color w:val="000000"/>
                <w:kern w:val="0"/>
                <w:sz w:val="20"/>
                <w:szCs w:val="20"/>
              </w:rPr>
              <w:t>满足要求</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62" w:type="dxa"/>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highlight w:val="yellow"/>
                <w:lang w:eastAsia="zh-CN"/>
              </w:rPr>
            </w:pPr>
            <w:r>
              <w:rPr>
                <w:rFonts w:hint="eastAsia" w:ascii="宋体" w:hAnsi="宋体" w:cs="宋体"/>
                <w:color w:val="000000"/>
                <w:kern w:val="0"/>
                <w:sz w:val="20"/>
                <w:szCs w:val="20"/>
                <w:lang w:val="en-US" w:eastAsia="zh-CN"/>
              </w:rPr>
              <w:t>1</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308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Layout w:type="fixed"/>
          <w:tblCellMar>
            <w:top w:w="0" w:type="dxa"/>
            <w:left w:w="108" w:type="dxa"/>
            <w:bottom w:w="0" w:type="dxa"/>
            <w:right w:w="108" w:type="dxa"/>
          </w:tblCellMar>
        </w:tblPrEx>
        <w:trPr>
          <w:trHeight w:val="983" w:hRule="atLeast"/>
        </w:trPr>
        <w:tc>
          <w:tcPr>
            <w:tcW w:w="831"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000000"/>
                <w:kern w:val="0"/>
                <w:sz w:val="20"/>
                <w:szCs w:val="20"/>
              </w:rPr>
            </w:pPr>
            <w:r>
              <w:rPr>
                <w:rFonts w:hint="eastAsia" w:cs="仿宋" w:asciiTheme="minorEastAsia" w:hAnsiTheme="minorEastAsia" w:eastAsiaTheme="minorEastAsia"/>
                <w:color w:val="000000"/>
                <w:kern w:val="0"/>
                <w:sz w:val="20"/>
                <w:szCs w:val="20"/>
              </w:rPr>
              <w:t>各项支出手续齐全、单据完整，严格按财政资金管理要求使用。</w:t>
            </w:r>
          </w:p>
        </w:tc>
        <w:tc>
          <w:tcPr>
            <w:tcW w:w="1650"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000000"/>
                <w:kern w:val="0"/>
                <w:sz w:val="20"/>
                <w:szCs w:val="20"/>
              </w:rPr>
            </w:pPr>
            <w:r>
              <w:rPr>
                <w:rFonts w:hint="eastAsia" w:cs="仿宋" w:asciiTheme="minorEastAsia" w:hAnsiTheme="minorEastAsia" w:eastAsiaTheme="minorEastAsia"/>
                <w:color w:val="000000"/>
                <w:kern w:val="0"/>
                <w:sz w:val="20"/>
                <w:szCs w:val="20"/>
              </w:rPr>
              <w:t>符合要求</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62"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308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Layout w:type="fixed"/>
          <w:tblCellMar>
            <w:top w:w="0" w:type="dxa"/>
            <w:left w:w="108" w:type="dxa"/>
            <w:bottom w:w="0" w:type="dxa"/>
            <w:right w:w="108" w:type="dxa"/>
          </w:tblCellMar>
        </w:tblPrEx>
        <w:trPr>
          <w:trHeight w:val="1035"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1440"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000000"/>
                <w:kern w:val="0"/>
                <w:sz w:val="20"/>
                <w:szCs w:val="20"/>
              </w:rPr>
            </w:pPr>
            <w:r>
              <w:rPr>
                <w:rFonts w:hint="eastAsia" w:cs="仿宋" w:asciiTheme="minorEastAsia" w:hAnsiTheme="minorEastAsia" w:eastAsiaTheme="minorEastAsia"/>
                <w:color w:val="000000"/>
                <w:kern w:val="0"/>
                <w:sz w:val="20"/>
                <w:szCs w:val="20"/>
              </w:rPr>
              <w:t>会计基础信息及资料真实、完整。</w:t>
            </w:r>
          </w:p>
        </w:tc>
        <w:tc>
          <w:tcPr>
            <w:tcW w:w="1650"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000000"/>
                <w:kern w:val="0"/>
                <w:sz w:val="20"/>
                <w:szCs w:val="20"/>
              </w:rPr>
            </w:pPr>
            <w:r>
              <w:rPr>
                <w:rFonts w:hint="eastAsia" w:cs="仿宋" w:asciiTheme="minorEastAsia" w:hAnsiTheme="minorEastAsia" w:eastAsiaTheme="minorEastAsia"/>
                <w:color w:val="000000"/>
                <w:kern w:val="0"/>
                <w:sz w:val="20"/>
                <w:szCs w:val="20"/>
              </w:rPr>
              <w:t>完成</w:t>
            </w:r>
          </w:p>
        </w:tc>
        <w:tc>
          <w:tcPr>
            <w:tcW w:w="72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62" w:type="dxa"/>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1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308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Layout w:type="fixed"/>
          <w:tblCellMar>
            <w:top w:w="0" w:type="dxa"/>
            <w:left w:w="108" w:type="dxa"/>
            <w:bottom w:w="0" w:type="dxa"/>
            <w:right w:w="108" w:type="dxa"/>
          </w:tblCellMar>
        </w:tblPrEx>
        <w:trPr>
          <w:trHeight w:val="2220"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r>
              <w:rPr>
                <w:rFonts w:hint="eastAsia" w:cs="仿宋" w:asciiTheme="minorEastAsia" w:hAnsiTheme="minorEastAsia" w:eastAsiaTheme="minorEastAsia"/>
                <w:color w:val="000000"/>
                <w:kern w:val="0"/>
                <w:sz w:val="20"/>
                <w:szCs w:val="20"/>
              </w:rPr>
              <w:t>资产配置合理，使用和处置规范。</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配置合理，使用和处置规范。</w:t>
            </w:r>
          </w:p>
        </w:tc>
        <w:tc>
          <w:tcPr>
            <w:tcW w:w="72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6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30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Layout w:type="fixed"/>
          <w:tblCellMar>
            <w:top w:w="0" w:type="dxa"/>
            <w:left w:w="108" w:type="dxa"/>
            <w:bottom w:w="0" w:type="dxa"/>
            <w:right w:w="108" w:type="dxa"/>
          </w:tblCellMar>
        </w:tblPrEx>
        <w:trPr>
          <w:trHeight w:val="1809"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1440"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eastAsiaTheme="minorEastAsia"/>
                <w:color w:val="000000"/>
                <w:kern w:val="0"/>
                <w:sz w:val="20"/>
                <w:szCs w:val="20"/>
              </w:rPr>
            </w:pPr>
            <w:r>
              <w:rPr>
                <w:rFonts w:hint="eastAsia" w:cs="仿宋" w:asciiTheme="minorEastAsia" w:hAnsiTheme="minorEastAsia" w:eastAsiaTheme="minorEastAsia"/>
                <w:color w:val="000000"/>
                <w:kern w:val="0"/>
                <w:sz w:val="20"/>
                <w:szCs w:val="20"/>
              </w:rPr>
              <w:t>通过开展绩效评价，提高资金使用效益。</w:t>
            </w:r>
          </w:p>
        </w:tc>
        <w:tc>
          <w:tcPr>
            <w:tcW w:w="165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评价项目9个，占部门财政预算项目总数的100.00%，其中，绩效评价项目1个，自评项目8个</w:t>
            </w:r>
            <w:r>
              <w:rPr>
                <w:rFonts w:hint="eastAsia" w:ascii="宋体" w:hAnsi="宋体" w:cs="宋体"/>
                <w:color w:val="000000"/>
                <w:kern w:val="0"/>
                <w:sz w:val="20"/>
                <w:szCs w:val="20"/>
                <w:lang w:eastAsia="zh-CN"/>
              </w:rPr>
              <w:t>。</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62"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308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Layout w:type="fixed"/>
          <w:tblCellMar>
            <w:top w:w="0" w:type="dxa"/>
            <w:left w:w="108" w:type="dxa"/>
            <w:bottom w:w="0" w:type="dxa"/>
            <w:right w:w="108" w:type="dxa"/>
          </w:tblCellMar>
        </w:tblPrEx>
        <w:trPr>
          <w:trHeight w:val="394"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288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年</w:t>
            </w: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年</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6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084" w:type="dxa"/>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trHeight w:val="699"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288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lang w:val="en-US" w:eastAsia="zh-CN"/>
              </w:rPr>
              <w:t>3</w:t>
            </w:r>
            <w:r>
              <w:rPr>
                <w:rFonts w:hint="eastAsia" w:cs="宋体" w:asciiTheme="minorEastAsia" w:hAnsiTheme="minorEastAsia" w:eastAsiaTheme="minorEastAsia"/>
                <w:color w:val="000000"/>
                <w:kern w:val="0"/>
                <w:sz w:val="20"/>
                <w:szCs w:val="20"/>
              </w:rPr>
              <w:t>.</w:t>
            </w:r>
            <w:r>
              <w:rPr>
                <w:rFonts w:hint="eastAsia" w:cs="宋体" w:asciiTheme="minorEastAsia" w:hAnsiTheme="minorEastAsia" w:eastAsiaTheme="minorEastAsia"/>
                <w:color w:val="000000"/>
                <w:kern w:val="0"/>
                <w:sz w:val="20"/>
                <w:szCs w:val="20"/>
                <w:lang w:val="en-US" w:eastAsia="zh-CN"/>
              </w:rPr>
              <w:t>62</w:t>
            </w:r>
            <w:r>
              <w:rPr>
                <w:rFonts w:hint="eastAsia" w:cs="宋体" w:asciiTheme="minorEastAsia" w:hAnsiTheme="minorEastAsia" w:eastAsiaTheme="minorEastAsia"/>
                <w:color w:val="000000"/>
                <w:kern w:val="0"/>
                <w:sz w:val="20"/>
                <w:szCs w:val="20"/>
              </w:rPr>
              <w:t>%</w:t>
            </w:r>
          </w:p>
        </w:tc>
        <w:tc>
          <w:tcPr>
            <w:tcW w:w="1650"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000000"/>
                <w:kern w:val="0"/>
                <w:sz w:val="20"/>
                <w:szCs w:val="20"/>
                <w:lang w:val="en-US"/>
              </w:rPr>
            </w:pPr>
            <w:r>
              <w:rPr>
                <w:rFonts w:hint="eastAsia" w:cs="宋体" w:asciiTheme="minorEastAsia" w:hAnsiTheme="minorEastAsia" w:eastAsiaTheme="minorEastAsia"/>
                <w:color w:val="000000"/>
                <w:kern w:val="0"/>
                <w:sz w:val="20"/>
                <w:szCs w:val="20"/>
                <w:lang w:val="en-US" w:eastAsia="zh-CN"/>
              </w:rPr>
              <w:t>2.39</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62" w:type="dxa"/>
            <w:tcBorders>
              <w:top w:val="nil"/>
              <w:left w:val="nil"/>
              <w:bottom w:val="single" w:color="auto" w:sz="4" w:space="0"/>
              <w:right w:val="nil"/>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highlight w:val="none"/>
                <w:lang w:val="en-US" w:eastAsia="zh-CN"/>
              </w:rPr>
              <w:t>4</w:t>
            </w:r>
          </w:p>
        </w:tc>
        <w:tc>
          <w:tcPr>
            <w:tcW w:w="331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308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Layout w:type="fixed"/>
          <w:tblCellMar>
            <w:top w:w="0" w:type="dxa"/>
            <w:left w:w="108" w:type="dxa"/>
            <w:bottom w:w="0" w:type="dxa"/>
            <w:right w:w="108" w:type="dxa"/>
          </w:tblCellMar>
        </w:tblPrEx>
        <w:trPr>
          <w:trHeight w:val="90" w:hRule="atLeast"/>
        </w:trPr>
        <w:tc>
          <w:tcPr>
            <w:tcW w:w="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highlight w:val="yellow"/>
              </w:rPr>
            </w:pPr>
          </w:p>
        </w:tc>
        <w:tc>
          <w:tcPr>
            <w:tcW w:w="83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2880" w:type="dxa"/>
            <w:gridSpan w:val="2"/>
            <w:tcBorders>
              <w:top w:val="single" w:color="auto" w:sz="4" w:space="0"/>
              <w:left w:val="nil"/>
              <w:bottom w:val="single" w:color="auto" w:sz="4" w:space="0"/>
              <w:right w:val="nil"/>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-5.25%</w:t>
            </w:r>
          </w:p>
        </w:tc>
        <w:tc>
          <w:tcPr>
            <w:tcW w:w="165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r>
              <w:rPr>
                <w:rFonts w:hint="eastAsia" w:cs="宋体" w:asciiTheme="minorEastAsia" w:hAnsiTheme="minorEastAsia" w:eastAsiaTheme="minorEastAsia"/>
                <w:color w:val="000000"/>
                <w:kern w:val="0"/>
                <w:sz w:val="20"/>
                <w:szCs w:val="20"/>
                <w:lang w:val="en-US" w:eastAsia="zh-CN"/>
              </w:rPr>
              <w:t>2.39</w:t>
            </w: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62"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1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308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Layout w:type="fixed"/>
          <w:tblCellMar>
            <w:top w:w="0" w:type="dxa"/>
            <w:left w:w="108" w:type="dxa"/>
            <w:bottom w:w="0" w:type="dxa"/>
            <w:right w:w="108" w:type="dxa"/>
          </w:tblCellMar>
        </w:tblPrEx>
        <w:trPr>
          <w:trHeight w:val="404" w:hRule="atLeast"/>
        </w:trPr>
        <w:tc>
          <w:tcPr>
            <w:tcW w:w="6192"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62" w:type="dxa"/>
            <w:tcBorders>
              <w:top w:val="nil"/>
              <w:left w:val="nil"/>
              <w:bottom w:val="single" w:color="auto" w:sz="4" w:space="0"/>
              <w:right w:val="nil"/>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rPr>
              <w:t>9</w:t>
            </w:r>
            <w:r>
              <w:rPr>
                <w:rFonts w:hint="eastAsia" w:ascii="宋体" w:hAnsi="宋体" w:cs="宋体"/>
                <w:color w:val="000000"/>
                <w:kern w:val="0"/>
                <w:sz w:val="20"/>
                <w:szCs w:val="20"/>
                <w:lang w:val="en-US" w:eastAsia="zh-CN"/>
              </w:rPr>
              <w:t>4.5</w:t>
            </w:r>
          </w:p>
        </w:tc>
        <w:tc>
          <w:tcPr>
            <w:tcW w:w="6401"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sectPr>
      <w:footerReference r:id="rId4" w:type="default"/>
      <w:pgSz w:w="16838" w:h="11906" w:orient="landscape"/>
      <w:pgMar w:top="1800" w:right="1440" w:bottom="1800" w:left="1440"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D87BA4-370A-4C9B-B4B0-41C80AC9802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5E5839B-9F76-4163-92EB-DE0D0D65B925}"/>
  </w:font>
  <w:font w:name="方正小标宋简体">
    <w:panose1 w:val="03000509000000000000"/>
    <w:charset w:val="86"/>
    <w:family w:val="auto"/>
    <w:pitch w:val="default"/>
    <w:sig w:usb0="00000001" w:usb1="080E0000" w:usb2="00000000" w:usb3="00000000" w:csb0="00040000" w:csb1="00000000"/>
    <w:embedRegular r:id="rId3" w:fontKey="{A806085E-7DDF-4C9E-831C-2B64FDD0FCF2}"/>
  </w:font>
  <w:font w:name="仿宋_GB2312">
    <w:panose1 w:val="02010609030101010101"/>
    <w:charset w:val="86"/>
    <w:family w:val="modern"/>
    <w:pitch w:val="default"/>
    <w:sig w:usb0="00000001" w:usb1="080E0000" w:usb2="00000000" w:usb3="00000000" w:csb0="00040000" w:csb1="00000000"/>
    <w:embedRegular r:id="rId4" w:fontKey="{4863B4FA-0B94-4B48-8EE5-F2AA42D0117A}"/>
  </w:font>
  <w:font w:name="方正小标宋_GBK">
    <w:altName w:val="Arial Unicode MS"/>
    <w:panose1 w:val="03000509000000000000"/>
    <w:charset w:val="86"/>
    <w:family w:val="auto"/>
    <w:pitch w:val="default"/>
    <w:sig w:usb0="00000000" w:usb1="00000000" w:usb2="00000000" w:usb3="00000000" w:csb0="00000000" w:csb1="00000000"/>
    <w:embedRegular r:id="rId5" w:fontKey="{2A421B98-0012-45E5-A10E-23FA0A9FC983}"/>
  </w:font>
  <w:font w:name="仿宋">
    <w:panose1 w:val="02010609060101010101"/>
    <w:charset w:val="86"/>
    <w:family w:val="modern"/>
    <w:pitch w:val="default"/>
    <w:sig w:usb0="800002BF" w:usb1="38CF7CFA" w:usb2="00000016" w:usb3="00000000" w:csb0="00040001" w:csb1="00000000"/>
    <w:embedRegular r:id="rId6" w:fontKey="{94573DAD-A4C5-4163-8761-542454DCD58F}"/>
  </w:font>
  <w:font w:name="华文宋体">
    <w:panose1 w:val="02010600040101010101"/>
    <w:charset w:val="86"/>
    <w:family w:val="auto"/>
    <w:pitch w:val="default"/>
    <w:sig w:usb0="00000287" w:usb1="080F0000" w:usb2="00000000" w:usb3="00000000" w:csb0="0004009F" w:csb1="DFD70000"/>
    <w:embedRegular r:id="rId7" w:fontKey="{D8B7133D-374C-4A09-B8F6-C6A533114104}"/>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224790" cy="230505"/>
              <wp:effectExtent l="0" t="3810" r="0" b="3810"/>
              <wp:wrapNone/>
              <wp:docPr id="2" name="Text Box 5"/>
              <wp:cNvGraphicFramePr/>
              <a:graphic xmlns:a="http://schemas.openxmlformats.org/drawingml/2006/main">
                <a:graphicData uri="http://schemas.microsoft.com/office/word/2010/wordprocessingShape">
                  <wps:wsp>
                    <wps:cNvSpPr txBox="1">
                      <a:spLocks noChangeArrowheads="1"/>
                    </wps:cNvSpPr>
                    <wps:spPr bwMode="auto">
                      <a:xfrm>
                        <a:off x="0" y="0"/>
                        <a:ext cx="224790" cy="230505"/>
                      </a:xfrm>
                      <a:prstGeom prst="rect">
                        <a:avLst/>
                      </a:prstGeom>
                      <a:noFill/>
                      <a:ln>
                        <a:noFill/>
                      </a:ln>
                    </wps:spPr>
                    <wps:txbx>
                      <w:txbxContent>
                        <w:p>
                          <w:pPr>
                            <w:pStyle w:val="5"/>
                            <w:jc w:val="cente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5" o:spid="_x0000_s1026" o:spt="202" type="#_x0000_t202" style="position:absolute;left:0pt;margin-top:0pt;height:18.15pt;width:17.7pt;mso-position-horizontal:right;mso-position-horizontal-relative:margin;z-index:251661312;mso-width-relative:page;mso-height-relative:page;" filled="f" stroked="f" coordsize="21600,21600" o:gfxdata="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BKWNNIAAAADAQAADwAAAAAA&#10;AAABACAAAAAiAAAAZHJzL2Rvd25yZXYueG1sUEsBAhQAFAAAAAgAh07iQIK7Z2DgAQAAtQMAAA4A&#10;AAAAAAAAAQAgAAAAIQEAAGRycy9lMm9Eb2MueG1sUEsFBgAAAAAGAAYAWQEAAHMFAAAAAA==&#10;">
              <v:fill on="f" focussize="0,0"/>
              <v:stroke on="f"/>
              <v:imagedata o:title=""/>
              <o:lock v:ext="edit" aspectratio="f"/>
              <v:textbox inset="0mm,0mm,0mm,0mm" style="mso-fit-shape-to-text:t;">
                <w:txbxContent>
                  <w:p>
                    <w:pPr>
                      <w:pStyle w:val="5"/>
                      <w:jc w:val="cente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5"/>
      <w:tabs>
        <w:tab w:val="left" w:pos="6887"/>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mc:AlternateContent>
        <mc:Choice Requires="wps">
          <w:drawing>
            <wp:anchor distT="0" distB="0" distL="114300" distR="114300" simplePos="0" relativeHeight="251660288" behindDoc="0" locked="0" layoutInCell="1" allowOverlap="1">
              <wp:simplePos x="0" y="0"/>
              <wp:positionH relativeFrom="margin">
                <wp:posOffset>4396105</wp:posOffset>
              </wp:positionH>
              <wp:positionV relativeFrom="paragraph">
                <wp:posOffset>1270</wp:posOffset>
              </wp:positionV>
              <wp:extent cx="175895" cy="1549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5895"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46.15pt;margin-top:0.1pt;height:12.2pt;width:13.85pt;mso-position-horizontal-relative:margin;z-index:251660288;mso-width-relative:page;mso-height-relative:page;" filled="f" stroked="f" coordsize="21600,21600" o:gfxdata="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Ak3fb1AAAAAcBAAAPAAAAAAAAAAEA&#10;IAAAACIAAABkcnMvZG93bnJldi54bWxQSwECFAAUAAAACACHTuJAxnB+9xMCAAAHBAAADgAAAAAA&#10;AAABACAAAAAjAQAAZHJzL2Uyb0RvYy54bWxQSwUGAAAAAAYABgBZAQAAqAUAAAAA&#10;">
              <v:fill on="f" focussize="0,0"/>
              <v:stroke on="f" weight="0.5pt"/>
              <v:imagedata o:title=""/>
              <o:lock v:ext="edit" aspectratio="f"/>
              <v:textbox inset="0mm,0mm,0mm,0mm">
                <w:txbxContent>
                  <w:p>
                    <w:pPr>
                      <w:pStyle w:val="5"/>
                    </w:pPr>
                    <w:r>
                      <w:fldChar w:fldCharType="begin"/>
                    </w:r>
                    <w:r>
                      <w:instrText xml:space="preserve"> PAGE  \* MERGEFORMAT </w:instrText>
                    </w:r>
                    <w:r>
                      <w:fldChar w:fldCharType="separate"/>
                    </w:r>
                    <w:r>
                      <w:t>- 3 -</w:t>
                    </w:r>
                    <w:r>
                      <w:fldChar w:fldCharType="end"/>
                    </w: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kNDliNTkyYzk4ZGZiNjA1NWI4MmViNmNlYWMwNDAifQ=="/>
  </w:docVars>
  <w:rsids>
    <w:rsidRoot w:val="006B32E2"/>
    <w:rsid w:val="00002593"/>
    <w:rsid w:val="00025076"/>
    <w:rsid w:val="0003043D"/>
    <w:rsid w:val="0005162E"/>
    <w:rsid w:val="00052421"/>
    <w:rsid w:val="00071011"/>
    <w:rsid w:val="000710D6"/>
    <w:rsid w:val="000B2359"/>
    <w:rsid w:val="000B4AD9"/>
    <w:rsid w:val="000B60B8"/>
    <w:rsid w:val="000C49DA"/>
    <w:rsid w:val="000C6A18"/>
    <w:rsid w:val="000D4947"/>
    <w:rsid w:val="000D70C1"/>
    <w:rsid w:val="000E7693"/>
    <w:rsid w:val="000F3523"/>
    <w:rsid w:val="001212C8"/>
    <w:rsid w:val="00121BB3"/>
    <w:rsid w:val="00124CF0"/>
    <w:rsid w:val="001329DF"/>
    <w:rsid w:val="00136722"/>
    <w:rsid w:val="00141D97"/>
    <w:rsid w:val="001643B6"/>
    <w:rsid w:val="001676E7"/>
    <w:rsid w:val="00175807"/>
    <w:rsid w:val="00176E68"/>
    <w:rsid w:val="00181E3C"/>
    <w:rsid w:val="00183E85"/>
    <w:rsid w:val="00190987"/>
    <w:rsid w:val="001B53D1"/>
    <w:rsid w:val="001C15FD"/>
    <w:rsid w:val="001D7153"/>
    <w:rsid w:val="001E3935"/>
    <w:rsid w:val="00202FD3"/>
    <w:rsid w:val="00203A3C"/>
    <w:rsid w:val="00262889"/>
    <w:rsid w:val="00272D2C"/>
    <w:rsid w:val="00285892"/>
    <w:rsid w:val="00292721"/>
    <w:rsid w:val="002951DB"/>
    <w:rsid w:val="002A5982"/>
    <w:rsid w:val="002A6B8B"/>
    <w:rsid w:val="002B2B3D"/>
    <w:rsid w:val="002D5576"/>
    <w:rsid w:val="003053B6"/>
    <w:rsid w:val="00311010"/>
    <w:rsid w:val="00316929"/>
    <w:rsid w:val="00317AA2"/>
    <w:rsid w:val="003279F9"/>
    <w:rsid w:val="003409E0"/>
    <w:rsid w:val="003866A1"/>
    <w:rsid w:val="00391BF9"/>
    <w:rsid w:val="003A082F"/>
    <w:rsid w:val="003B3690"/>
    <w:rsid w:val="003E2808"/>
    <w:rsid w:val="004134E5"/>
    <w:rsid w:val="00424540"/>
    <w:rsid w:val="00427787"/>
    <w:rsid w:val="00463089"/>
    <w:rsid w:val="00475DDD"/>
    <w:rsid w:val="004857EC"/>
    <w:rsid w:val="004918D5"/>
    <w:rsid w:val="004A73BF"/>
    <w:rsid w:val="004B3B32"/>
    <w:rsid w:val="004C3387"/>
    <w:rsid w:val="004C3526"/>
    <w:rsid w:val="004F1A1F"/>
    <w:rsid w:val="004F577F"/>
    <w:rsid w:val="004F5C18"/>
    <w:rsid w:val="005057D9"/>
    <w:rsid w:val="005062CD"/>
    <w:rsid w:val="00517E15"/>
    <w:rsid w:val="005264E8"/>
    <w:rsid w:val="00536A18"/>
    <w:rsid w:val="00550C6C"/>
    <w:rsid w:val="0055161D"/>
    <w:rsid w:val="0055574E"/>
    <w:rsid w:val="00555EC8"/>
    <w:rsid w:val="0057014E"/>
    <w:rsid w:val="00573AC3"/>
    <w:rsid w:val="005836C4"/>
    <w:rsid w:val="00590E56"/>
    <w:rsid w:val="00591982"/>
    <w:rsid w:val="00597EB8"/>
    <w:rsid w:val="005B546E"/>
    <w:rsid w:val="005C35A7"/>
    <w:rsid w:val="005C579F"/>
    <w:rsid w:val="005C60D5"/>
    <w:rsid w:val="005D435B"/>
    <w:rsid w:val="005E2971"/>
    <w:rsid w:val="005F0ADD"/>
    <w:rsid w:val="0060504F"/>
    <w:rsid w:val="006114DA"/>
    <w:rsid w:val="0061485E"/>
    <w:rsid w:val="00615F31"/>
    <w:rsid w:val="00645C32"/>
    <w:rsid w:val="0064727C"/>
    <w:rsid w:val="0066215B"/>
    <w:rsid w:val="006708AB"/>
    <w:rsid w:val="00672207"/>
    <w:rsid w:val="00673C44"/>
    <w:rsid w:val="006A2559"/>
    <w:rsid w:val="006A491B"/>
    <w:rsid w:val="006B32E2"/>
    <w:rsid w:val="006B3752"/>
    <w:rsid w:val="006B729E"/>
    <w:rsid w:val="006B75C7"/>
    <w:rsid w:val="006C20F7"/>
    <w:rsid w:val="006C7FF0"/>
    <w:rsid w:val="006D0FA3"/>
    <w:rsid w:val="006D3CEA"/>
    <w:rsid w:val="006D3EC5"/>
    <w:rsid w:val="006D6812"/>
    <w:rsid w:val="006E0AD3"/>
    <w:rsid w:val="006E2FBC"/>
    <w:rsid w:val="00710B01"/>
    <w:rsid w:val="00726166"/>
    <w:rsid w:val="00737AA7"/>
    <w:rsid w:val="007442A9"/>
    <w:rsid w:val="007620FC"/>
    <w:rsid w:val="00777CD6"/>
    <w:rsid w:val="007816F5"/>
    <w:rsid w:val="007A0B71"/>
    <w:rsid w:val="007A23A5"/>
    <w:rsid w:val="007A5523"/>
    <w:rsid w:val="007A7379"/>
    <w:rsid w:val="007B1DCA"/>
    <w:rsid w:val="007C0F14"/>
    <w:rsid w:val="007E156B"/>
    <w:rsid w:val="00815E32"/>
    <w:rsid w:val="00823B2A"/>
    <w:rsid w:val="00830424"/>
    <w:rsid w:val="0083276A"/>
    <w:rsid w:val="00852743"/>
    <w:rsid w:val="00854EED"/>
    <w:rsid w:val="00857B28"/>
    <w:rsid w:val="00861F1A"/>
    <w:rsid w:val="00862D3B"/>
    <w:rsid w:val="00864DF5"/>
    <w:rsid w:val="00871353"/>
    <w:rsid w:val="00871D4B"/>
    <w:rsid w:val="00883851"/>
    <w:rsid w:val="008A0CA4"/>
    <w:rsid w:val="008A6B40"/>
    <w:rsid w:val="008C18B2"/>
    <w:rsid w:val="008C2F2E"/>
    <w:rsid w:val="008C7E90"/>
    <w:rsid w:val="008D0C56"/>
    <w:rsid w:val="008D6F62"/>
    <w:rsid w:val="008E0FF1"/>
    <w:rsid w:val="008E6E2C"/>
    <w:rsid w:val="008F5669"/>
    <w:rsid w:val="00907ECA"/>
    <w:rsid w:val="009347A9"/>
    <w:rsid w:val="0094061A"/>
    <w:rsid w:val="009500A0"/>
    <w:rsid w:val="00950240"/>
    <w:rsid w:val="00950B2B"/>
    <w:rsid w:val="00954696"/>
    <w:rsid w:val="00966EF8"/>
    <w:rsid w:val="009808E6"/>
    <w:rsid w:val="009A4628"/>
    <w:rsid w:val="009B7A48"/>
    <w:rsid w:val="009D249C"/>
    <w:rsid w:val="009D4507"/>
    <w:rsid w:val="009E3F8E"/>
    <w:rsid w:val="009E58F1"/>
    <w:rsid w:val="009F4E74"/>
    <w:rsid w:val="009F5978"/>
    <w:rsid w:val="009F6225"/>
    <w:rsid w:val="00A12B71"/>
    <w:rsid w:val="00A22E90"/>
    <w:rsid w:val="00A31396"/>
    <w:rsid w:val="00A42B07"/>
    <w:rsid w:val="00A4417F"/>
    <w:rsid w:val="00A50446"/>
    <w:rsid w:val="00A522B2"/>
    <w:rsid w:val="00A61A94"/>
    <w:rsid w:val="00A76387"/>
    <w:rsid w:val="00A81D7C"/>
    <w:rsid w:val="00A9032D"/>
    <w:rsid w:val="00AA3096"/>
    <w:rsid w:val="00AC123E"/>
    <w:rsid w:val="00AC3C21"/>
    <w:rsid w:val="00AD35CA"/>
    <w:rsid w:val="00B12AC7"/>
    <w:rsid w:val="00B236AE"/>
    <w:rsid w:val="00B329C3"/>
    <w:rsid w:val="00B415F1"/>
    <w:rsid w:val="00B640C3"/>
    <w:rsid w:val="00B65F89"/>
    <w:rsid w:val="00B66623"/>
    <w:rsid w:val="00B740AA"/>
    <w:rsid w:val="00B76039"/>
    <w:rsid w:val="00B952E4"/>
    <w:rsid w:val="00B97A68"/>
    <w:rsid w:val="00BA05CA"/>
    <w:rsid w:val="00BA4DB8"/>
    <w:rsid w:val="00BB1027"/>
    <w:rsid w:val="00BB3CED"/>
    <w:rsid w:val="00BD0801"/>
    <w:rsid w:val="00BF3A5A"/>
    <w:rsid w:val="00BF59A5"/>
    <w:rsid w:val="00BF68AA"/>
    <w:rsid w:val="00C05953"/>
    <w:rsid w:val="00C101E7"/>
    <w:rsid w:val="00C22532"/>
    <w:rsid w:val="00C240F1"/>
    <w:rsid w:val="00C5498B"/>
    <w:rsid w:val="00C85EE3"/>
    <w:rsid w:val="00CA07ED"/>
    <w:rsid w:val="00CB1B09"/>
    <w:rsid w:val="00CB50A3"/>
    <w:rsid w:val="00CD49B4"/>
    <w:rsid w:val="00CE42B6"/>
    <w:rsid w:val="00CE6E80"/>
    <w:rsid w:val="00D0182D"/>
    <w:rsid w:val="00D06FD2"/>
    <w:rsid w:val="00D0788C"/>
    <w:rsid w:val="00D51263"/>
    <w:rsid w:val="00D55504"/>
    <w:rsid w:val="00D62981"/>
    <w:rsid w:val="00D62EAE"/>
    <w:rsid w:val="00D704F8"/>
    <w:rsid w:val="00D94C46"/>
    <w:rsid w:val="00D95AC5"/>
    <w:rsid w:val="00DA1440"/>
    <w:rsid w:val="00DA4D59"/>
    <w:rsid w:val="00DA4F46"/>
    <w:rsid w:val="00DA5214"/>
    <w:rsid w:val="00DA7B57"/>
    <w:rsid w:val="00DD0C39"/>
    <w:rsid w:val="00DD4F0D"/>
    <w:rsid w:val="00DF5E54"/>
    <w:rsid w:val="00E133C5"/>
    <w:rsid w:val="00E1752D"/>
    <w:rsid w:val="00E27BAC"/>
    <w:rsid w:val="00E34054"/>
    <w:rsid w:val="00E37DC2"/>
    <w:rsid w:val="00E50540"/>
    <w:rsid w:val="00E875D7"/>
    <w:rsid w:val="00E93B78"/>
    <w:rsid w:val="00EC1AD0"/>
    <w:rsid w:val="00ED3002"/>
    <w:rsid w:val="00ED3F3A"/>
    <w:rsid w:val="00ED4D54"/>
    <w:rsid w:val="00EE0B25"/>
    <w:rsid w:val="00EE1A40"/>
    <w:rsid w:val="00F05DA4"/>
    <w:rsid w:val="00F121F5"/>
    <w:rsid w:val="00F13A6C"/>
    <w:rsid w:val="00F1522E"/>
    <w:rsid w:val="00F30778"/>
    <w:rsid w:val="00F47F9B"/>
    <w:rsid w:val="00F65FF9"/>
    <w:rsid w:val="00F721E4"/>
    <w:rsid w:val="00F769DC"/>
    <w:rsid w:val="00FB0BF6"/>
    <w:rsid w:val="00FB2F08"/>
    <w:rsid w:val="00FB3E68"/>
    <w:rsid w:val="00FD5DA5"/>
    <w:rsid w:val="018F2EE2"/>
    <w:rsid w:val="02054239"/>
    <w:rsid w:val="020967F0"/>
    <w:rsid w:val="02254FCF"/>
    <w:rsid w:val="02331ABF"/>
    <w:rsid w:val="024D57D0"/>
    <w:rsid w:val="026233A6"/>
    <w:rsid w:val="03045209"/>
    <w:rsid w:val="033F6241"/>
    <w:rsid w:val="038C346F"/>
    <w:rsid w:val="03F60FF6"/>
    <w:rsid w:val="042567CD"/>
    <w:rsid w:val="04463D2B"/>
    <w:rsid w:val="049F51EA"/>
    <w:rsid w:val="064A387B"/>
    <w:rsid w:val="06667CE7"/>
    <w:rsid w:val="067F1777"/>
    <w:rsid w:val="06D27AF8"/>
    <w:rsid w:val="086E1AA3"/>
    <w:rsid w:val="09FC6C3A"/>
    <w:rsid w:val="0A1026E6"/>
    <w:rsid w:val="0A380BDF"/>
    <w:rsid w:val="0A99398A"/>
    <w:rsid w:val="0B6D5629"/>
    <w:rsid w:val="0C1C7A68"/>
    <w:rsid w:val="0CCB5127"/>
    <w:rsid w:val="0CE045F1"/>
    <w:rsid w:val="0D1D3A97"/>
    <w:rsid w:val="0D6B035F"/>
    <w:rsid w:val="0D894C89"/>
    <w:rsid w:val="0E440BB0"/>
    <w:rsid w:val="0ECF491D"/>
    <w:rsid w:val="0F5B515F"/>
    <w:rsid w:val="108C6F6A"/>
    <w:rsid w:val="109B71AD"/>
    <w:rsid w:val="10D80401"/>
    <w:rsid w:val="10F66AD9"/>
    <w:rsid w:val="10F845FF"/>
    <w:rsid w:val="111E1B8C"/>
    <w:rsid w:val="113D2012"/>
    <w:rsid w:val="11673533"/>
    <w:rsid w:val="11E626AA"/>
    <w:rsid w:val="12435D4E"/>
    <w:rsid w:val="12DB5F87"/>
    <w:rsid w:val="140908D1"/>
    <w:rsid w:val="142D2812"/>
    <w:rsid w:val="143C0BC9"/>
    <w:rsid w:val="14665D24"/>
    <w:rsid w:val="14744FE5"/>
    <w:rsid w:val="1497412F"/>
    <w:rsid w:val="15BD7BC5"/>
    <w:rsid w:val="15DC33AC"/>
    <w:rsid w:val="15E0481E"/>
    <w:rsid w:val="160E5EC3"/>
    <w:rsid w:val="161F15F1"/>
    <w:rsid w:val="16435340"/>
    <w:rsid w:val="166B7621"/>
    <w:rsid w:val="16D74CB7"/>
    <w:rsid w:val="172E5F1A"/>
    <w:rsid w:val="173B6FF4"/>
    <w:rsid w:val="174425D8"/>
    <w:rsid w:val="177469AA"/>
    <w:rsid w:val="178D1819"/>
    <w:rsid w:val="188B5D59"/>
    <w:rsid w:val="189A5F9C"/>
    <w:rsid w:val="19481E9C"/>
    <w:rsid w:val="1A3B555D"/>
    <w:rsid w:val="1AC47300"/>
    <w:rsid w:val="1B302BE8"/>
    <w:rsid w:val="1C187233"/>
    <w:rsid w:val="1C4F709D"/>
    <w:rsid w:val="1CCC06EE"/>
    <w:rsid w:val="1D3544E5"/>
    <w:rsid w:val="1D37200B"/>
    <w:rsid w:val="1DC00253"/>
    <w:rsid w:val="1E6C3F37"/>
    <w:rsid w:val="1EFB350D"/>
    <w:rsid w:val="1F4275D2"/>
    <w:rsid w:val="1FD47FE6"/>
    <w:rsid w:val="1FF468DA"/>
    <w:rsid w:val="20032679"/>
    <w:rsid w:val="205661AA"/>
    <w:rsid w:val="20726328"/>
    <w:rsid w:val="20727346"/>
    <w:rsid w:val="20855784"/>
    <w:rsid w:val="20E9031F"/>
    <w:rsid w:val="220821C8"/>
    <w:rsid w:val="2217240B"/>
    <w:rsid w:val="222D1C2F"/>
    <w:rsid w:val="22456F79"/>
    <w:rsid w:val="22765384"/>
    <w:rsid w:val="22777077"/>
    <w:rsid w:val="231D7342"/>
    <w:rsid w:val="234B4A63"/>
    <w:rsid w:val="23580F2E"/>
    <w:rsid w:val="23980DC4"/>
    <w:rsid w:val="23A3664D"/>
    <w:rsid w:val="23CE7442"/>
    <w:rsid w:val="23E47645"/>
    <w:rsid w:val="24172B97"/>
    <w:rsid w:val="242E1C8E"/>
    <w:rsid w:val="24AE26D8"/>
    <w:rsid w:val="255D0959"/>
    <w:rsid w:val="258B55EA"/>
    <w:rsid w:val="25F8260F"/>
    <w:rsid w:val="25FD7B6A"/>
    <w:rsid w:val="26867B60"/>
    <w:rsid w:val="269E30FB"/>
    <w:rsid w:val="27D26CFD"/>
    <w:rsid w:val="27F3369B"/>
    <w:rsid w:val="298619E8"/>
    <w:rsid w:val="29D07A70"/>
    <w:rsid w:val="2A5C1303"/>
    <w:rsid w:val="2AB253C7"/>
    <w:rsid w:val="2AB63109"/>
    <w:rsid w:val="2B34464A"/>
    <w:rsid w:val="2B434959"/>
    <w:rsid w:val="2B4C75CA"/>
    <w:rsid w:val="2B746468"/>
    <w:rsid w:val="2B9E76FA"/>
    <w:rsid w:val="2BAE1609"/>
    <w:rsid w:val="2C4C57BC"/>
    <w:rsid w:val="2C9D5C03"/>
    <w:rsid w:val="2D6A3D37"/>
    <w:rsid w:val="2D88240F"/>
    <w:rsid w:val="2DA96312"/>
    <w:rsid w:val="2DAF5BEE"/>
    <w:rsid w:val="2DBA39DB"/>
    <w:rsid w:val="2E1E4B22"/>
    <w:rsid w:val="2E33681F"/>
    <w:rsid w:val="2E8B21B7"/>
    <w:rsid w:val="2EDA4EED"/>
    <w:rsid w:val="2F6A2714"/>
    <w:rsid w:val="30277571"/>
    <w:rsid w:val="30444D13"/>
    <w:rsid w:val="308E2433"/>
    <w:rsid w:val="30FD4EC2"/>
    <w:rsid w:val="317A4765"/>
    <w:rsid w:val="31B1354F"/>
    <w:rsid w:val="31B1462B"/>
    <w:rsid w:val="31EA3699"/>
    <w:rsid w:val="32902717"/>
    <w:rsid w:val="329A50BF"/>
    <w:rsid w:val="32AC08B4"/>
    <w:rsid w:val="32CE4D68"/>
    <w:rsid w:val="332C1A8F"/>
    <w:rsid w:val="337F252B"/>
    <w:rsid w:val="3390201E"/>
    <w:rsid w:val="33FB7DDF"/>
    <w:rsid w:val="349D4885"/>
    <w:rsid w:val="34CC0F05"/>
    <w:rsid w:val="35232178"/>
    <w:rsid w:val="35447564"/>
    <w:rsid w:val="357F059C"/>
    <w:rsid w:val="35F25212"/>
    <w:rsid w:val="360D3DFA"/>
    <w:rsid w:val="36146F36"/>
    <w:rsid w:val="3626624F"/>
    <w:rsid w:val="362D624A"/>
    <w:rsid w:val="369736C3"/>
    <w:rsid w:val="36AA789A"/>
    <w:rsid w:val="36B50719"/>
    <w:rsid w:val="36CF172B"/>
    <w:rsid w:val="36FB00F6"/>
    <w:rsid w:val="374874A7"/>
    <w:rsid w:val="37A95DA4"/>
    <w:rsid w:val="37F76B0F"/>
    <w:rsid w:val="381D755C"/>
    <w:rsid w:val="38284F1B"/>
    <w:rsid w:val="38CA67D0"/>
    <w:rsid w:val="394418E0"/>
    <w:rsid w:val="396B1563"/>
    <w:rsid w:val="3A39340F"/>
    <w:rsid w:val="3AA27206"/>
    <w:rsid w:val="3AA80595"/>
    <w:rsid w:val="3AA82343"/>
    <w:rsid w:val="3B082DE1"/>
    <w:rsid w:val="3B167C0B"/>
    <w:rsid w:val="3BAF23CD"/>
    <w:rsid w:val="3C771FCD"/>
    <w:rsid w:val="3CA628B2"/>
    <w:rsid w:val="3CD25455"/>
    <w:rsid w:val="3CF51A56"/>
    <w:rsid w:val="3CF74EBC"/>
    <w:rsid w:val="3D233F03"/>
    <w:rsid w:val="3D874491"/>
    <w:rsid w:val="3DB159B2"/>
    <w:rsid w:val="3E2E2B5F"/>
    <w:rsid w:val="3E873FDB"/>
    <w:rsid w:val="3EB6242B"/>
    <w:rsid w:val="3EB7055B"/>
    <w:rsid w:val="3F4A5777"/>
    <w:rsid w:val="3F4F0836"/>
    <w:rsid w:val="3F4F5483"/>
    <w:rsid w:val="3FED5CA2"/>
    <w:rsid w:val="400E5D55"/>
    <w:rsid w:val="404D7AC4"/>
    <w:rsid w:val="40C33A32"/>
    <w:rsid w:val="413B181B"/>
    <w:rsid w:val="416D52DA"/>
    <w:rsid w:val="41CD5683"/>
    <w:rsid w:val="41DD28D2"/>
    <w:rsid w:val="4306116F"/>
    <w:rsid w:val="43100A85"/>
    <w:rsid w:val="434370AD"/>
    <w:rsid w:val="4352109E"/>
    <w:rsid w:val="43E02B4D"/>
    <w:rsid w:val="44056110"/>
    <w:rsid w:val="44315157"/>
    <w:rsid w:val="447D65EE"/>
    <w:rsid w:val="4513380A"/>
    <w:rsid w:val="456F5F37"/>
    <w:rsid w:val="458B3F07"/>
    <w:rsid w:val="45AC73C6"/>
    <w:rsid w:val="45DC4B29"/>
    <w:rsid w:val="473A2575"/>
    <w:rsid w:val="473F5DDD"/>
    <w:rsid w:val="474D04FA"/>
    <w:rsid w:val="47727F60"/>
    <w:rsid w:val="480A1F47"/>
    <w:rsid w:val="4837077E"/>
    <w:rsid w:val="48825F81"/>
    <w:rsid w:val="49325BF9"/>
    <w:rsid w:val="4958156F"/>
    <w:rsid w:val="49811327"/>
    <w:rsid w:val="499A379E"/>
    <w:rsid w:val="4A8F4985"/>
    <w:rsid w:val="4B0233A9"/>
    <w:rsid w:val="4B2E6438"/>
    <w:rsid w:val="4B9D30D2"/>
    <w:rsid w:val="4C983FC5"/>
    <w:rsid w:val="4DC86B2C"/>
    <w:rsid w:val="4E1C4782"/>
    <w:rsid w:val="4F361873"/>
    <w:rsid w:val="4FE15C83"/>
    <w:rsid w:val="50354221"/>
    <w:rsid w:val="508B425D"/>
    <w:rsid w:val="509B0528"/>
    <w:rsid w:val="510065DD"/>
    <w:rsid w:val="51383FC9"/>
    <w:rsid w:val="51475FBA"/>
    <w:rsid w:val="51516E38"/>
    <w:rsid w:val="521A71D9"/>
    <w:rsid w:val="52614E59"/>
    <w:rsid w:val="526D37FE"/>
    <w:rsid w:val="52857403"/>
    <w:rsid w:val="52900EEF"/>
    <w:rsid w:val="537137C2"/>
    <w:rsid w:val="538E1C7E"/>
    <w:rsid w:val="53C00FD2"/>
    <w:rsid w:val="54B971CF"/>
    <w:rsid w:val="550D12C8"/>
    <w:rsid w:val="551E176E"/>
    <w:rsid w:val="554D7917"/>
    <w:rsid w:val="559B0682"/>
    <w:rsid w:val="55A51501"/>
    <w:rsid w:val="55B02A26"/>
    <w:rsid w:val="55D6244F"/>
    <w:rsid w:val="55F869F5"/>
    <w:rsid w:val="56270168"/>
    <w:rsid w:val="563F3703"/>
    <w:rsid w:val="56AF0889"/>
    <w:rsid w:val="56F3629C"/>
    <w:rsid w:val="573E7E5F"/>
    <w:rsid w:val="57831D16"/>
    <w:rsid w:val="578A2E8A"/>
    <w:rsid w:val="578C4726"/>
    <w:rsid w:val="57AC301B"/>
    <w:rsid w:val="57B36157"/>
    <w:rsid w:val="57C739B1"/>
    <w:rsid w:val="57D83E10"/>
    <w:rsid w:val="57DE0CFA"/>
    <w:rsid w:val="58257A4F"/>
    <w:rsid w:val="584C2108"/>
    <w:rsid w:val="585B1260"/>
    <w:rsid w:val="58BA64F2"/>
    <w:rsid w:val="58D2260D"/>
    <w:rsid w:val="58EB7B73"/>
    <w:rsid w:val="590747AB"/>
    <w:rsid w:val="592310BA"/>
    <w:rsid w:val="5A184997"/>
    <w:rsid w:val="5A250E62"/>
    <w:rsid w:val="5A6F20DD"/>
    <w:rsid w:val="5A8262B5"/>
    <w:rsid w:val="5B2F01EA"/>
    <w:rsid w:val="5B490B80"/>
    <w:rsid w:val="5B5063B8"/>
    <w:rsid w:val="5B5E287E"/>
    <w:rsid w:val="5B6B6D49"/>
    <w:rsid w:val="5BB406F0"/>
    <w:rsid w:val="5CCA6C64"/>
    <w:rsid w:val="5D0B07E3"/>
    <w:rsid w:val="5D505750"/>
    <w:rsid w:val="5DA666F5"/>
    <w:rsid w:val="5E1C432A"/>
    <w:rsid w:val="5E7B5776"/>
    <w:rsid w:val="5EAF519E"/>
    <w:rsid w:val="5EBB7A7A"/>
    <w:rsid w:val="5ECC7AFE"/>
    <w:rsid w:val="5ED74E21"/>
    <w:rsid w:val="5F6E4051"/>
    <w:rsid w:val="5FD7780E"/>
    <w:rsid w:val="601614EA"/>
    <w:rsid w:val="606326E4"/>
    <w:rsid w:val="60821D7D"/>
    <w:rsid w:val="60E27AAD"/>
    <w:rsid w:val="6142679E"/>
    <w:rsid w:val="61695AD8"/>
    <w:rsid w:val="61A84853"/>
    <w:rsid w:val="61BA6334"/>
    <w:rsid w:val="622226EF"/>
    <w:rsid w:val="62AA45FB"/>
    <w:rsid w:val="63952BB5"/>
    <w:rsid w:val="63D062E3"/>
    <w:rsid w:val="64D67929"/>
    <w:rsid w:val="64EA6F30"/>
    <w:rsid w:val="653D08B4"/>
    <w:rsid w:val="66303069"/>
    <w:rsid w:val="666920D7"/>
    <w:rsid w:val="66723681"/>
    <w:rsid w:val="66A62636"/>
    <w:rsid w:val="66FC6544"/>
    <w:rsid w:val="67317098"/>
    <w:rsid w:val="67A41618"/>
    <w:rsid w:val="681A18DB"/>
    <w:rsid w:val="68E24052"/>
    <w:rsid w:val="68E65C61"/>
    <w:rsid w:val="68F4037D"/>
    <w:rsid w:val="691F0159"/>
    <w:rsid w:val="69796AD5"/>
    <w:rsid w:val="69951B60"/>
    <w:rsid w:val="69BD4E08"/>
    <w:rsid w:val="6A136F29"/>
    <w:rsid w:val="6A1A3E14"/>
    <w:rsid w:val="6A55309E"/>
    <w:rsid w:val="6A6B0B13"/>
    <w:rsid w:val="6ADE7537"/>
    <w:rsid w:val="6B032AFA"/>
    <w:rsid w:val="6B457C0B"/>
    <w:rsid w:val="6B4B624F"/>
    <w:rsid w:val="6B6F1752"/>
    <w:rsid w:val="6BC378DC"/>
    <w:rsid w:val="6C4E249B"/>
    <w:rsid w:val="6D1555C1"/>
    <w:rsid w:val="6D6D6950"/>
    <w:rsid w:val="6E522D71"/>
    <w:rsid w:val="6F9845C7"/>
    <w:rsid w:val="6FB40867"/>
    <w:rsid w:val="700B5E5F"/>
    <w:rsid w:val="70253512"/>
    <w:rsid w:val="7064228D"/>
    <w:rsid w:val="70643377"/>
    <w:rsid w:val="70673B2B"/>
    <w:rsid w:val="709B63C5"/>
    <w:rsid w:val="70BD7BEF"/>
    <w:rsid w:val="70D54F38"/>
    <w:rsid w:val="70DD4F89"/>
    <w:rsid w:val="715220E5"/>
    <w:rsid w:val="715E6CDC"/>
    <w:rsid w:val="71C72AD3"/>
    <w:rsid w:val="72001B41"/>
    <w:rsid w:val="72DD6326"/>
    <w:rsid w:val="73261A7B"/>
    <w:rsid w:val="7346211D"/>
    <w:rsid w:val="73BE3A62"/>
    <w:rsid w:val="73C3551C"/>
    <w:rsid w:val="73C92407"/>
    <w:rsid w:val="73CB43D1"/>
    <w:rsid w:val="740F42BD"/>
    <w:rsid w:val="742C1313"/>
    <w:rsid w:val="74D437E0"/>
    <w:rsid w:val="755A1EB0"/>
    <w:rsid w:val="75DA08FB"/>
    <w:rsid w:val="76BB072D"/>
    <w:rsid w:val="76C36542"/>
    <w:rsid w:val="77EF4B32"/>
    <w:rsid w:val="77FF289B"/>
    <w:rsid w:val="784A1D68"/>
    <w:rsid w:val="786A065C"/>
    <w:rsid w:val="78A141F4"/>
    <w:rsid w:val="78B611AB"/>
    <w:rsid w:val="79240792"/>
    <w:rsid w:val="79346574"/>
    <w:rsid w:val="7A081EDB"/>
    <w:rsid w:val="7A251704"/>
    <w:rsid w:val="7A7B08FF"/>
    <w:rsid w:val="7AC676A0"/>
    <w:rsid w:val="7AF10BC1"/>
    <w:rsid w:val="7B0F54EB"/>
    <w:rsid w:val="7BA7127F"/>
    <w:rsid w:val="7BD76009"/>
    <w:rsid w:val="7C013085"/>
    <w:rsid w:val="7C10151B"/>
    <w:rsid w:val="7C2A25DC"/>
    <w:rsid w:val="7C7750F6"/>
    <w:rsid w:val="7C896BD7"/>
    <w:rsid w:val="7CF229CE"/>
    <w:rsid w:val="7D0B0712"/>
    <w:rsid w:val="7D5D078F"/>
    <w:rsid w:val="7D6869EF"/>
    <w:rsid w:val="7EAC5B20"/>
    <w:rsid w:val="7EEF3736"/>
    <w:rsid w:val="7EF17C43"/>
    <w:rsid w:val="7F0215EE"/>
    <w:rsid w:val="7F5434CC"/>
    <w:rsid w:val="7F6C4CBA"/>
    <w:rsid w:val="7F8C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17"/>
    <w:qFormat/>
    <w:uiPriority w:val="0"/>
    <w:pPr>
      <w:jc w:val="left"/>
    </w:p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39"/>
  </w:style>
  <w:style w:type="paragraph" w:styleId="8">
    <w:name w:val="toc 2"/>
    <w:basedOn w:val="1"/>
    <w:next w:val="1"/>
    <w:qFormat/>
    <w:uiPriority w:val="39"/>
    <w:pPr>
      <w:ind w:left="420" w:leftChars="200"/>
    </w:pPr>
  </w:style>
  <w:style w:type="paragraph" w:styleId="9">
    <w:name w:val="annotation subject"/>
    <w:basedOn w:val="4"/>
    <w:next w:val="4"/>
    <w:link w:val="18"/>
    <w:qFormat/>
    <w:uiPriority w:val="0"/>
    <w:rPr>
      <w:b/>
      <w:bCs/>
    </w:r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styleId="13">
    <w:name w:val="annotation reference"/>
    <w:basedOn w:val="11"/>
    <w:qFormat/>
    <w:uiPriority w:val="0"/>
    <w:rPr>
      <w:sz w:val="21"/>
      <w:szCs w:val="21"/>
    </w:rPr>
  </w:style>
  <w:style w:type="paragraph" w:customStyle="1" w:styleId="14">
    <w:name w:val="列出段落1"/>
    <w:basedOn w:val="1"/>
    <w:qFormat/>
    <w:uiPriority w:val="34"/>
    <w:pPr>
      <w:ind w:firstLine="420" w:firstLineChars="200"/>
    </w:pPr>
    <w:rPr>
      <w:rFonts w:ascii="Calibri" w:hAnsi="Calibri" w:cs="黑体"/>
      <w:szCs w:val="22"/>
    </w:rPr>
  </w:style>
  <w:style w:type="paragraph" w:customStyle="1" w:styleId="15">
    <w:name w:val="WPSOffice手动目录 1"/>
    <w:qFormat/>
    <w:uiPriority w:val="0"/>
    <w:rPr>
      <w:rFonts w:ascii="Calibri" w:hAnsi="Calibri" w:eastAsia="宋体" w:cs="宋体"/>
      <w:lang w:val="en-US" w:eastAsia="zh-CN" w:bidi="ar-SA"/>
    </w:rPr>
  </w:style>
  <w:style w:type="paragraph" w:customStyle="1" w:styleId="16">
    <w:name w:val="WPSOffice手动目录 2"/>
    <w:qFormat/>
    <w:uiPriority w:val="0"/>
    <w:pPr>
      <w:ind w:left="200" w:leftChars="200"/>
    </w:pPr>
    <w:rPr>
      <w:rFonts w:ascii="Calibri" w:hAnsi="Calibri" w:eastAsia="宋体" w:cs="宋体"/>
      <w:lang w:val="en-US" w:eastAsia="zh-CN" w:bidi="ar-SA"/>
    </w:rPr>
  </w:style>
  <w:style w:type="character" w:customStyle="1" w:styleId="17">
    <w:name w:val="批注文字 字符"/>
    <w:basedOn w:val="11"/>
    <w:link w:val="4"/>
    <w:qFormat/>
    <w:uiPriority w:val="0"/>
    <w:rPr>
      <w:kern w:val="2"/>
      <w:sz w:val="21"/>
      <w:szCs w:val="24"/>
    </w:rPr>
  </w:style>
  <w:style w:type="character" w:customStyle="1" w:styleId="18">
    <w:name w:val="批注主题 字符"/>
    <w:basedOn w:val="17"/>
    <w:link w:val="9"/>
    <w:qFormat/>
    <w:uiPriority w:val="0"/>
    <w:rPr>
      <w:b/>
      <w:bCs/>
      <w:kern w:val="2"/>
      <w:sz w:val="21"/>
      <w:szCs w:val="24"/>
    </w:rPr>
  </w:style>
  <w:style w:type="character" w:customStyle="1" w:styleId="19">
    <w:name w:val="标题 1 字符"/>
    <w:basedOn w:val="11"/>
    <w:link w:val="2"/>
    <w:qFormat/>
    <w:uiPriority w:val="0"/>
    <w:rPr>
      <w:b/>
      <w:bCs/>
      <w:kern w:val="44"/>
      <w:sz w:val="44"/>
      <w:szCs w:val="44"/>
    </w:rPr>
  </w:style>
  <w:style w:type="paragraph" w:customStyle="1" w:styleId="2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6199</Words>
  <Characters>6426</Characters>
  <Lines>103</Lines>
  <Paragraphs>29</Paragraphs>
  <TotalTime>41</TotalTime>
  <ScaleCrop>false</ScaleCrop>
  <LinksUpToDate>false</LinksUpToDate>
  <CharactersWithSpaces>6538</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2023-05-19T15:48:00Z</dcterms:created>
  <dc:creator>user</dc:creator>
  <cp:lastModifiedBy>lenovo</cp:lastModifiedBy>
  <cp:lastPrinted>2022-03-24T18:01:00Z</cp:lastPrinted>
  <dcterms:modified xsi:type="dcterms:W3CDTF">2026-08-26T06:13:07Z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F8CF392A825241D7ABFF190083201F95_13</vt:lpwstr>
  </property>
  <property fmtid="{D5CDD505-2E9C-101B-9397-08002B2CF9AE}" pid="4" name="KSOTemplateDocerSaveRecord">
    <vt:lpwstr>eyJoZGlkIjoiZmFkYjhkZDA5YjZmNDI4MTQ3ZTljODQ5NTNiNjg3YTMiLCJ1c2VySWQiOiI3NzEwNjY0NzkifQ==</vt:lpwstr>
  </property>
</Properties>
</file>